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4287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w:t>
      </w:r>
      <w:r>
        <w:rPr>
          <w:strike/>
        </w:rPr>
        <w:t xml:space="preserve">, if the victim of the offense was younger than 14 years of age at the time the offense was committed</w:t>
      </w:r>
      <w:r>
        <w:t xml:space="preserve">];</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t xml:space="preserve">A judge may place on deferred adjudication community supervision a defendant charged with an offense under Section 21.11 </w:t>
      </w:r>
      <w:r>
        <w:rPr>
          <w:u w:val="single"/>
        </w:rPr>
        <w:t xml:space="preserve">or</w:t>
      </w:r>
      <w:r>
        <w:t xml:space="preserve"> [</w:t>
      </w:r>
      <w:r>
        <w:rPr>
          <w:strike/>
        </w:rPr>
        <w:t xml:space="preserve">,</w:t>
      </w:r>
      <w:r>
        <w:t xml:space="preserve">] 22.011, [</w:t>
      </w:r>
      <w:r>
        <w:rPr>
          <w:strike/>
        </w:rPr>
        <w:t xml:space="preserve">or 22.021,</w:t>
      </w:r>
      <w:r>
        <w:t xml:space="preserve">] Penal Code, regardless of the age of the victim, or a defendant charged with a felony described by Article 42A.453(b)</w:t>
      </w:r>
      <w:r>
        <w:rPr>
          <w:u w:val="single"/>
        </w:rPr>
        <w:t xml:space="preserve">, other than a felony described by Subsection (b)(1)(A) of this article,</w:t>
      </w:r>
      <w:r>
        <w:t xml:space="preserve">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20A.03, 21.02, 22.021, 43.04, 43.05, or 43.25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w:t>
      </w:r>
      <w:r>
        <w:rPr>
          <w:u w:val="single"/>
        </w:rPr>
        <w:t xml:space="preserve">or</w:t>
      </w:r>
      <w:r>
        <w:t xml:space="preserve"> [</w:t>
      </w:r>
      <w:r>
        <w:rPr>
          <w:strike/>
        </w:rPr>
        <w:t xml:space="preserve">,</w:t>
      </w:r>
      <w:r>
        <w:t xml:space="preserve">] 22.011, [</w:t>
      </w:r>
      <w:r>
        <w:rPr>
          <w:strike/>
        </w:rPr>
        <w:t xml:space="preserve">or 22.021,</w:t>
      </w:r>
      <w:r>
        <w:t xml:space="preserve">] Penal Code, regardless of the age of the victim, or a felony described by Article 42A.453(b)</w:t>
      </w:r>
      <w:r>
        <w:rPr>
          <w:u w:val="single"/>
        </w:rPr>
        <w:t xml:space="preserve">, other than a felony described by Subdivision (1)(A)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defendant is charged with an offense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21.02, Penal Code;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