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86R4671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4288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a program manager for certain public works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2269, Government Code, is amended by adding Subchapter I-1 to read as follows:</w:t>
      </w:r>
    </w:p>
    <w:p w:rsidR="003F3435" w:rsidRDefault="0032493E">
      <w:pPr>
        <w:spacing w:line="480" w:lineRule="auto"/>
        <w:jc w:val="center"/>
      </w:pPr>
      <w:r>
        <w:rPr>
          <w:u w:val="single"/>
        </w:rPr>
        <w:t xml:space="preserve">SUBCHAPTER I-1. PROGRAM MANAGER METHOD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manager" means a sole proprietorship, partnership, corporation, or other legal entity that serves as the primary agent for a governmental entity by providing construction administration and management services for the construction, rehabilitation, alteration, or repair of a facility or other public works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manager method" means a delivery method by which a governmental entity contracts with a program manager to provide consultation or administrative services during the design and construction phase of a facility or other public works project and to manage multiple contracts with various construction prime contractors.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2269.422.</w:t>
      </w:r>
      <w:r>
        <w:rPr>
          <w:u w:val="single"/>
        </w:rPr>
        <w:t xml:space="preserve"> </w:t>
      </w:r>
      <w:r>
        <w:rPr>
          <w:u w:val="single"/>
        </w:rPr>
        <w:t xml:space="preserve"> </w:t>
      </w:r>
      <w:r>
        <w:rPr>
          <w:u w:val="single"/>
        </w:rPr>
        <w:t xml:space="preserve">PROGRAM MANAGER. </w:t>
      </w:r>
      <w:r>
        <w:rPr>
          <w:u w:val="single"/>
        </w:rPr>
        <w:t xml:space="preserve"> </w:t>
      </w:r>
      <w:r>
        <w:rPr>
          <w:u w:val="single"/>
        </w:rPr>
        <w:t xml:space="preserve">A governmental entity may retain a program manager for assistance in the construction, rehabilitation, alteration, or repair of a facility or other public works project only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2269.423.</w:t>
      </w:r>
      <w:r>
        <w:rPr>
          <w:u w:val="single"/>
        </w:rPr>
        <w:t xml:space="preserve"> </w:t>
      </w:r>
      <w:r>
        <w:rPr>
          <w:u w:val="single"/>
        </w:rPr>
        <w:t xml:space="preserve"> </w:t>
      </w:r>
      <w:r>
        <w:rPr>
          <w:u w:val="single"/>
        </w:rPr>
        <w:t xml:space="preserve">CONTRACT PROVISIONS FOR PROGRAM MANAGER.  A contract between a governmental entity and a program manager may require the program manager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administrative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equipment necessary to perform duties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on-site management;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in securing financing for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design standards;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uniform standards for all aspects of project delivery;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 reporting and control system requirements;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public relations and legislative initiative support;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communicate with other consultants, contractors, and subcontractors;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manage land acquisition and environmental service providers;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manage master-planning, programming, and design service providers;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develop communication and management strategies for multiple, concurrent projects;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establish and document compliance with quality and performance standards and specifications;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develop contract and procurement strategies;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assist with reporting to governing boards;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provide other services specified in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2269.424.</w:t>
      </w:r>
      <w:r>
        <w:rPr>
          <w:u w:val="single"/>
        </w:rPr>
        <w:t xml:space="preserve"> </w:t>
      </w:r>
      <w:r>
        <w:rPr>
          <w:u w:val="single"/>
        </w:rPr>
        <w:t xml:space="preserve"> </w:t>
      </w:r>
      <w:r>
        <w:rPr>
          <w:u w:val="single"/>
        </w:rPr>
        <w:t xml:space="preserve">LIMITS ON PROGRAM MANAGER.  A program manager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any aspect of the construction, rehabilitation, alteration, or repair of a facility or other public works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party to a construction subcontract for the construction, rehabilitation, alteration, or repair of a facility or other public works project;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or be required to provide performance and payment bonds for the construction, rehabilitation, alteration, or repair of a facility or other public works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2269.425.</w:t>
      </w:r>
      <w:r>
        <w:rPr>
          <w:u w:val="single"/>
        </w:rPr>
        <w:t xml:space="preserve"> </w:t>
      </w:r>
      <w:r>
        <w:rPr>
          <w:u w:val="single"/>
        </w:rPr>
        <w:t xml:space="preserve"> </w:t>
      </w:r>
      <w:r>
        <w:rPr>
          <w:u w:val="single"/>
        </w:rPr>
        <w:t xml:space="preserve">FIDUCIARY CAPACITY OF PROGRAM MANAGER.  A program manager represents the governmental entity in a fiduciary capacity.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2269.426.</w:t>
      </w:r>
      <w:r>
        <w:rPr>
          <w:u w:val="single"/>
        </w:rPr>
        <w:t xml:space="preserve"> </w:t>
      </w:r>
      <w:r>
        <w:rPr>
          <w:u w:val="single"/>
        </w:rPr>
        <w:t xml:space="preserve"> </w:t>
      </w:r>
      <w:r>
        <w:rPr>
          <w:u w:val="single"/>
        </w:rPr>
        <w:t xml:space="preserve">USE OF ENGINEER OR ARCHITECT.  (a)  On or before the date a governmental entity selects a program manager, the governmental entity must select or designate an engineer or architect in accordance with Chapter 1001 or 1051, Occupations Code, as applicable, to prepare the construction documents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governmental entity's engineer or architect may not serve, alone or in combination with another person, as the program manager unless the engineer or architect is hired to serve as the program manager under a separate or concurrent selection process conducted in accordance with this subchapter.  This subsection does not prohibit the governmental entity's engineer or architect from providing customary construction phase services under the engineer's or architect's original professional service agreement in accordance with applicable licensing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the program manager's services are defined as part of the practice of engineering or architecture under Chapter 1001 or 1051, Occupations Code, as applicable, those services shall be conducted by a person licensed under the applicable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2269.427.</w:t>
      </w:r>
      <w:r>
        <w:rPr>
          <w:u w:val="single"/>
        </w:rPr>
        <w:t xml:space="preserve"> </w:t>
      </w:r>
      <w:r>
        <w:rPr>
          <w:u w:val="single"/>
        </w:rPr>
        <w:t xml:space="preserve"> </w:t>
      </w:r>
      <w:r>
        <w:rPr>
          <w:u w:val="single"/>
        </w:rPr>
        <w:t xml:space="preserve">SELECTION OF CONTRACTORS.  A governmental entity using the program manager method shall procure, in accordance with applicable law and in any manner authorized by this chapter, a general contractor or trade contractors who will serve as the prime contractors for their specific portions of the work and provide performance and payment bonds to the governmental entity in accordance with applicable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2269.428.</w:t>
      </w:r>
      <w:r>
        <w:rPr>
          <w:u w:val="single"/>
        </w:rPr>
        <w:t xml:space="preserve"> </w:t>
      </w:r>
      <w:r>
        <w:rPr>
          <w:u w:val="single"/>
        </w:rPr>
        <w:t xml:space="preserve"> </w:t>
      </w:r>
      <w:r>
        <w:rPr>
          <w:u w:val="single"/>
        </w:rPr>
        <w:t xml:space="preserve">SELECTION OF PROGRAM MANAGER.  A governmental entity shall select a program manager on the basis of demonstrated competence and qualifications in the same manner that an engineer or architect is selected under Section 2254.004.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2269.429.</w:t>
      </w:r>
      <w:r>
        <w:rPr>
          <w:u w:val="single"/>
        </w:rPr>
        <w:t xml:space="preserve"> </w:t>
      </w:r>
      <w:r>
        <w:rPr>
          <w:u w:val="single"/>
        </w:rPr>
        <w:t xml:space="preserve"> </w:t>
      </w:r>
      <w:r>
        <w:rPr>
          <w:u w:val="single"/>
        </w:rPr>
        <w:t xml:space="preserve">INSURANCE.  A program manager selected under this subchapter shall maintain professional liability or errors and omissions insurance in the amount of at least $1 million for each occurrence.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a contract or construction project for which a governmental  entity first advertises or otherwise requests bids, proposals,     offers, or qualifications, or makes a similar solicitation,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 contract or construction project for which a     governmental entity first advertises or otherwise requests bids,     proposals, offers, or qualifications, or makes a similar     solicitation,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