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86R9342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4292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waiver of certain surcharges assessed under the driver responsibility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708, Transportation Code, is amended by adding Section 708.160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708.160.</w:t>
      </w:r>
      <w:r>
        <w:rPr>
          <w:u w:val="single"/>
        </w:rPr>
        <w:t xml:space="preserve"> </w:t>
      </w:r>
      <w:r>
        <w:rPr>
          <w:u w:val="single"/>
        </w:rPr>
        <w:t xml:space="preserve"> </w:t>
      </w:r>
      <w:r>
        <w:rPr>
          <w:u w:val="single"/>
        </w:rPr>
        <w:t xml:space="preserve">WAIVER OF SURCHARGES FOR CERTAIN OFFENSES.  (a) </w:t>
      </w:r>
      <w:r>
        <w:rPr>
          <w:u w:val="single"/>
        </w:rPr>
        <w:t xml:space="preserve"> </w:t>
      </w:r>
      <w:r>
        <w:rPr>
          <w:u w:val="single"/>
        </w:rPr>
        <w:t xml:space="preserve">A person who receives notice of a surcharge under Section 708.151 as a result of one or more convictions may file a petition with a convicting court for a waiver of the surcharge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offense that was the basis for the surcharge was punishable by a fine only;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petition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copy of the person's driving record;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copy of the notice of surcharge received under Section 708.151;</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evidence that the person is unable to pay the surcharge;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supporting documentation that would support a decision to grant the waiver.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receiving a petition under this section shall set a hearing not later than the 14th day after the date the court receives the petition. </w:t>
      </w:r>
      <w:r>
        <w:rPr>
          <w:u w:val="single"/>
        </w:rPr>
        <w:t xml:space="preserve"> </w:t>
      </w:r>
      <w:r>
        <w:rPr>
          <w:u w:val="single"/>
        </w:rPr>
        <w:t xml:space="preserve">The court shall notify the department of the date of the hearing. </w:t>
      </w:r>
      <w:r>
        <w:rPr>
          <w:u w:val="single"/>
        </w:rPr>
        <w:t xml:space="preserve"> </w:t>
      </w:r>
      <w:r>
        <w:rPr>
          <w:u w:val="single"/>
        </w:rPr>
        <w:t xml:space="preserve">At the hearing, the court may hear testimony and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petitioner's ability to pay the surcharge;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frequency of the underlying offenses;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and length of any license suspension;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factors that would support a decision to grant the waiver.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issue an order granting the waiver. </w:t>
      </w:r>
      <w:r>
        <w:rPr>
          <w:u w:val="single"/>
        </w:rPr>
        <w:t xml:space="preserve"> </w:t>
      </w:r>
      <w:r>
        <w:rPr>
          <w:u w:val="single"/>
        </w:rPr>
        <w:t xml:space="preserve">The court shall notify the department of an order entered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department receives a court order under Subsection (c), the department shall waive the surcharges as required by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708.160, Transportation Code, as added by this Act, applies to any surcharge pending on the effective date of this Act, regardless of whether the surcharge was imposed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