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86R8386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settlement for the payment of certain medical benefits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408.005, Labor Code, is amended by amending Subsections (b) and (e) and adding Subsections (b-1) and (e-1) to read as follows:</w:t>
      </w:r>
    </w:p>
    <w:p w:rsidR="003F3435" w:rsidRDefault="0032493E">
      <w:pPr>
        <w:spacing w:line="480" w:lineRule="auto"/>
        <w:ind w:firstLine="720"/>
        <w:jc w:val="both"/>
      </w:pPr>
      <w:r>
        <w:t xml:space="preserve">(b)</w:t>
      </w:r>
      <w:r xml:space="preserve">
        <w:t> </w:t>
      </w:r>
      <w:r xml:space="preserve">
        <w:t> </w:t>
      </w:r>
      <w:r>
        <w:t xml:space="preserve">An employee's right to medical benefits as provided by Section 408.021 may not be limited or terminated </w:t>
      </w:r>
      <w:r>
        <w:rPr>
          <w:u w:val="single"/>
        </w:rPr>
        <w:t xml:space="preserve">except as provided by this section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Parties may reach a settlement of medical benefits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injured employee enters into a workers' compensation Medicare set-aside arrangement;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arrangement described by Subdivision (1) is approved by the federal Centers for Medicare and Medicaid Services, if the proposed amount of the settlement is eligible for review by that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settlement provides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oversight of the arrangement described by Subdivision (1) by a corporate trustee or other professional administrator;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reversionary interest on the employee's death allowing the unexpended funds to be shared by the injured employee's beneficiary and the payor.</w:t>
      </w:r>
    </w:p>
    <w:p w:rsidR="003F3435" w:rsidRDefault="0032493E">
      <w:pPr>
        <w:spacing w:line="480" w:lineRule="auto"/>
        <w:ind w:firstLine="720"/>
        <w:jc w:val="both"/>
      </w:pPr>
      <w:r>
        <w:t xml:space="preserve">(e)</w:t>
      </w:r>
      <w:r xml:space="preserve">
        <w:t> </w:t>
      </w:r>
      <w:r xml:space="preserve">
        <w:t> </w:t>
      </w:r>
      <w:r>
        <w:t xml:space="preserve">The commissioner shall approve a settlement if the commissioner is satisfied that:</w:t>
      </w:r>
    </w:p>
    <w:p w:rsidR="003F3435" w:rsidRDefault="0032493E">
      <w:pPr>
        <w:spacing w:line="480" w:lineRule="auto"/>
        <w:ind w:firstLine="1440"/>
        <w:jc w:val="both"/>
      </w:pPr>
      <w:r>
        <w:t xml:space="preserve">(1)</w:t>
      </w:r>
      <w:r xml:space="preserve">
        <w:t> </w:t>
      </w:r>
      <w:r xml:space="preserve">
        <w:t> </w:t>
      </w:r>
      <w:r>
        <w:t xml:space="preserve">the settlement accurately reflects the agreement between the parties;</w:t>
      </w:r>
    </w:p>
    <w:p w:rsidR="003F3435" w:rsidRDefault="0032493E">
      <w:pPr>
        <w:spacing w:line="480" w:lineRule="auto"/>
        <w:ind w:firstLine="1440"/>
        <w:jc w:val="both"/>
      </w:pPr>
      <w:r>
        <w:t xml:space="preserve">(2)</w:t>
      </w:r>
      <w:r xml:space="preserve">
        <w:t> </w:t>
      </w:r>
      <w:r xml:space="preserve">
        <w:t> </w:t>
      </w:r>
      <w:r>
        <w:t xml:space="preserve">the settlement reflects adherence to all appropriate provisions of law and the </w:t>
      </w:r>
      <w:r>
        <w:rPr>
          <w:u w:val="single"/>
        </w:rPr>
        <w:t xml:space="preserve">rules</w:t>
      </w:r>
      <w:r>
        <w:t xml:space="preserve"> [</w:t>
      </w:r>
      <w:r>
        <w:rPr>
          <w:strike/>
        </w:rPr>
        <w:t xml:space="preserve">policies</w:t>
      </w:r>
      <w:r>
        <w:t xml:space="preserve">] of the division;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under the law and facts, the settlement is in the best interest of the </w:t>
      </w:r>
      <w:r>
        <w:rPr>
          <w:u w:val="single"/>
        </w:rPr>
        <w:t xml:space="preserve">injured employee;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settlement is entered into voluntarily by all parties;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the extent possible, all extent of injury issues have been resolved</w:t>
      </w:r>
      <w:r>
        <w:t xml:space="preserve"> [</w:t>
      </w:r>
      <w:r>
        <w:rPr>
          <w:strike/>
        </w:rPr>
        <w:t xml:space="preserve">claimant</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purposes of Subsection (e)(3), the commissioner may not find that a settlement of medical benefits under Subsection (b-1) is in the best interest of the injured employee unless the settlement is overseen by a corporate trustee or other professional administrator.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408.021(d), Labor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Section 408.005, an</w:t>
      </w:r>
      <w:r>
        <w:t xml:space="preserve"> [</w:t>
      </w:r>
      <w:r>
        <w:rPr>
          <w:strike/>
        </w:rPr>
        <w:t xml:space="preserve">An</w:t>
      </w:r>
      <w:r>
        <w:t xml:space="preserve">] insurance carrier's liability for medical benefits may not be limited or terminated by agreement or settlement.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settlement entered into on or after the effective date of this Act, in conjunction with a claim for workers'</w:t>
      </w:r>
      <w:r>
        <w:t xml:space="preserve"> </w:t>
      </w:r>
      <w:r>
        <w:t xml:space="preserve">compensation benefits, regardless of the date on which the compensable injury that is the basis of the claim occurred.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