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86R14612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4307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housing discrimination under the Texas Fair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301, Property Code, is amended by adding Section 301.028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301.028.</w:t>
      </w:r>
      <w:r>
        <w:rPr>
          <w:u w:val="single"/>
        </w:rPr>
        <w:t xml:space="preserve"> </w:t>
      </w:r>
      <w:r>
        <w:rPr>
          <w:u w:val="single"/>
        </w:rPr>
        <w:t xml:space="preserve"> </w:t>
      </w:r>
      <w:r>
        <w:rPr>
          <w:u w:val="single"/>
        </w:rPr>
        <w:t xml:space="preserve">CERTAIN CONDUCT PROHIBITED.  A person may not interfere, coerce, intimidate, retaliate against, or harass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exercises a right or protection granted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encourages another person to exercise a right or protection granted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301, Property Code, is amended by adding Section 301.134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301.134.</w:t>
      </w:r>
      <w:r>
        <w:rPr>
          <w:u w:val="single"/>
        </w:rPr>
        <w:t xml:space="preserve"> </w:t>
      </w:r>
      <w:r>
        <w:rPr>
          <w:u w:val="single"/>
        </w:rPr>
        <w:t xml:space="preserve"> </w:t>
      </w:r>
      <w:r>
        <w:rPr>
          <w:u w:val="single"/>
        </w:rPr>
        <w:t xml:space="preserve">CONCILIATION AGREEMENT ENFORCEMENT.  The commission may review a respondent's compliance with the terms of a conciliation agreement entered into under this chapter.  If the commission has reasonable cause to believe that a respondent has breached a conciliation agreement, the commission shall refer the matter to the attorney general with a recommendation for the attorney general to file in accordance with this subchapter a civil action to enforce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