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4310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school district's scope and sequence for subjects in the required curriculum for public school students.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28, Education Code, is  amended by adding Section 28.0027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28.0027.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DISTRICT CURRICULUM SCOPE AND SEQUENCE.  (a) </w:t>
      </w:r>
      <w:r>
        <w:rPr>
          <w:u w:val="single"/>
        </w:rPr>
        <w:t xml:space="preserve"> </w:t>
      </w:r>
      <w:r>
        <w:rPr>
          <w:u w:val="single"/>
        </w:rPr>
        <w:t xml:space="preserve">In adopting a recommended or designated scope and sequence for a subject in the required curriculum under Section 28.002(a) in a particular grade level, a school district shall ensure sufficient time is provided for teachers to teach and students to learn the essential knowledge and skills for that subject and grade level.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provided by Subsection (c), a school district may not penalize a teacher who does not follow a recommended or designated scope and sequence for a subject in the required curriculum under Section 28.002(a) in a particular grade level based on the teacher's determination that the teacher's students need more or less time in a specific area to demonstrate proficiency in the essential knowledge and skills for that subject and grade level.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may take appropriate action with respect to a teacher for conduct described by Subsection (b) based on documented evidence of a deficiency in classroom instruction obtained through observation or substantiated and documented third-party information.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4310 was passed by the House on April 25, 2019, by the following vote:</w:t>
      </w:r>
      <w:r xml:space="preserve">
        <w:t> </w:t>
      </w:r>
      <w:r xml:space="preserve">
        <w:t> </w:t>
      </w:r>
      <w:r>
        <w:t xml:space="preserve">Yeas 128, Nays 1, 1 present, not voting; and that the House concurred in Senate amendments to H.B. No. 4310 on May 24, 2019, by the following vote:</w:t>
      </w:r>
      <w:r xml:space="preserve">
        <w:t> </w:t>
      </w:r>
      <w:r xml:space="preserve">
        <w:t> </w:t>
      </w:r>
      <w:r>
        <w:t xml:space="preserve">Yeas 134, Nays 8,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ind w:firstLine="720"/>
        <w:jc w:val="both"/>
      </w:pPr>
      <w:r>
        <w:t xml:space="preserve">I certify that H.B. No. 4310 was passed by the Senate, with amendments, on May 22, 2019, by the following vote:</w:t>
      </w:r>
      <w:r xml:space="preserve">
        <w:t> </w:t>
      </w:r>
      <w:r xml:space="preserve">
        <w:t> </w:t>
      </w:r>
      <w:r>
        <w:t xml:space="preserve">Yeas 30, Nays 1.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4310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