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86R22952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4310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4310: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4310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school district's scope and sequence for subjects in the required curriculum for public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28, Education Code, is  amended by adding Section 28.0027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28.0027.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DISTRICT CURRICULUM SCOPE AND SEQUENCE.  (a) </w:t>
      </w:r>
      <w:r>
        <w:rPr>
          <w:u w:val="single"/>
        </w:rPr>
        <w:t xml:space="preserve"> </w:t>
      </w:r>
      <w:r>
        <w:rPr>
          <w:u w:val="single"/>
        </w:rPr>
        <w:t xml:space="preserve">In adopting a recommended or designated scope and sequence for a subject in the required curriculum under Section 28.002(a) in a particular grade level, a school district shall ensure sufficient time is provided for teachers to teach and students to learn the essential knowledge and skills for that subject and grade level.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not penalize a teacher who does not follow a recommended or designated scope and sequence for a subject in the required curriculum under Section 28.002(a) in a particular grade level based on the teacher's determination that the teacher's students need more or less time in a specific area to demonstrate proficiency in the essential knowledge and skills for that subject and grade level.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4310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