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4310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26,</w:t>
      </w:r>
      <w:r xml:space="preserve">
        <w:t> </w:t>
      </w:r>
      <w:r>
        <w:t xml:space="preserve">2019; April</w:t>
      </w:r>
      <w:r xml:space="preserve">
        <w:t> </w:t>
      </w:r>
      <w:r>
        <w:t xml:space="preserve">29,</w:t>
      </w:r>
      <w:r xml:space="preserve">
        <w:t> </w:t>
      </w:r>
      <w:r>
        <w:t xml:space="preserve">2019, read first time and referred to Committee on Education; May</w:t>
      </w:r>
      <w:r xml:space="preserve">
        <w:t> </w:t>
      </w:r>
      <w:r>
        <w:t xml:space="preserve">17,</w:t>
      </w:r>
      <w:r xml:space="preserve">
        <w:t> </w:t>
      </w:r>
      <w:r>
        <w:t xml:space="preserve">2019,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11, Nays</w:t>
      </w:r>
      <w:r xml:space="preserve">
        <w:t> </w:t>
      </w:r>
      <w:r>
        <w:t xml:space="preserve">0; May</w:t>
      </w:r>
      <w:r xml:space="preserve">
        <w:t> </w:t>
      </w:r>
      <w:r>
        <w:t xml:space="preserve">17,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Fallon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firstLine="72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Watson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4310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school district's scope and sequence for subjects in the required curriculum for public school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28, Education Code, is  amended by adding Section 28.0027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28.0027.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DISTRICT CURRICULUM SCOPE AND SEQUENCE.  (a) </w:t>
      </w:r>
      <w:r>
        <w:rPr>
          <w:u w:val="single"/>
        </w:rPr>
        <w:t xml:space="preserve"> </w:t>
      </w:r>
      <w:r>
        <w:rPr>
          <w:u w:val="single"/>
        </w:rPr>
        <w:t xml:space="preserve">In adopting a recommended or designated scope and sequence for a subject in the required curriculum under Section 28.002(a) in a particular grade level, a school district shall ensure sufficient time is provided for teachers to teach and students to learn the essential knowledge and skills for that subject and grade level.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(c), a school district may not penalize a teacher who does not follow a recommended or designated scope and sequence for a subject in the required curriculum under Section 28.002(a) in a particular grade level based on the teacher's determination that the teacher's students need more or less time in a specific area to demonstrate proficiency in the essential knowledge and skills for that subject and grade level.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take appropriate action with respect to a teacher for conduct described by Subsection (b) based on documented evidence of a deficiency in classroom instruction obtained through observation or substantiated and documented third-party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4310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