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4320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restrictions on municipal regulation in certain areas.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229, Local Government Code, is amended by adding Subchapter Z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Z. </w:t>
      </w:r>
      <w:r>
        <w:rPr>
          <w:u w:val="single"/>
        </w:rPr>
        <w:t xml:space="preserve"> </w:t>
      </w:r>
      <w:r>
        <w:rPr>
          <w:u w:val="single"/>
        </w:rPr>
        <w:t xml:space="preserve">MISCELLANEOUS PROVISIONS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229.901.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MUNICIPAL REGULATION IN CERTAIN AREAS.  Notwithstanding any other law, in an area in which the residents are ineligible or have only limited eligibility to vote in municipal elections, a municipality may not regulate an activity or structure that is regulated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