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86R13551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4321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conflicts of interest of the commissioner of insurance and employees of the Texas Department of Insurance; requiring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33, Insurance Code, is amended by adding Section 33.008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33.008.</w:t>
      </w:r>
      <w:r>
        <w:rPr>
          <w:u w:val="single"/>
        </w:rPr>
        <w:t xml:space="preserve"> </w:t>
      </w:r>
      <w:r>
        <w:rPr>
          <w:u w:val="single"/>
        </w:rPr>
        <w:t xml:space="preserve"> </w:t>
      </w:r>
      <w:r>
        <w:rPr>
          <w:u w:val="single"/>
        </w:rPr>
        <w:t xml:space="preserve">PROHIBITION AGAINST ACCEPTANCE OF GIFTS, GRATUITIES, OR OTHER THING OF VALUE; EXCEPTION.  (a)  Except as provided by Subsections (b) and (d), the commissioner or an employee of the department may not accept a gift, gratuity, or other thing of value, including transportation and travel expenses, from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or participates in the management of an entity or other organization that is regulated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owns or controls, directly or indirectly, more than a 10 percent interest of a business entity or other organization that is regulated by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related within the second degree of consanguinity to a person described by Subdivision (1) or (2);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an agent, representative, attorney, employee, officer, owner, director, or partner of an entity, organization, or person described by Subdivision (1), (2), or (3).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commissioner or an employee of the department may accept from a person described by Subsection (a)(1), (2), or (4) a gift, gratuity, or other thing of value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registered under Chapter 305,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gift, gratuity, or other thing of value has a value of $50 or less;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registrant states, on the registrant's report under Section 305.006, Government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gift, gratuity, or other thing of value was given by or on behalf of the registrant to the commissioner or the employee of the department;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 description of the gift, gratuity, or other thing of value;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amount of the expenditure by appropriate category of amount, as determined by the Texas Ethics Commission;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gift, gratuity, or other thing of value does not violate Section 36.08 or 36.09, Penal Code, as described by Section 36.10, Penal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305.003, Government Code, a person described by Subsection (a)(1), (2), or (4) shall register with the Texas Ethics Commission under Chapter 305, Government Code, if the person gives to the commissioner or an employee of the department a gift, gratuity, or other thing of value the value of which is $50 or less.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or an employee of the department may not accept from a person described by Subsection (a)(1), (2), or (4) gifts, gratuities, or other things of value the aggregate value of which exceeds $2,000 during a calendar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33.008, Insurance Code, as added by this Act, applies only to a gift, gratuity, or thing of value accepted or given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