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 Zerwas</w:t>
      </w:r>
      <w:r xml:space="preserve">
        <w:tab wTab="150" tlc="none" cTlc="0"/>
      </w:r>
      <w:r>
        <w:t xml:space="preserve">H.B.</w:t>
      </w:r>
      <w:r xml:space="preserve">
        <w:t> </w:t>
      </w:r>
      <w:r>
        <w:t xml:space="preserve">No.</w:t>
      </w:r>
      <w:r xml:space="preserve">
        <w:t> </w:t>
      </w:r>
      <w:r>
        <w:t xml:space="preserve">4323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identifying information of certain child victims.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57E to read as follows:</w:t>
      </w:r>
    </w:p>
    <w:p w:rsidR="003F3435" w:rsidRDefault="0032493E">
      <w:pPr>
        <w:spacing w:line="480" w:lineRule="auto"/>
        <w:jc w:val="center"/>
      </w:pPr>
      <w:r>
        <w:rPr>
          <w:u w:val="single"/>
        </w:rPr>
        <w:t xml:space="preserve">CHAPTER 57E. </w:t>
      </w:r>
      <w:r>
        <w:rPr>
          <w:u w:val="single"/>
        </w:rPr>
        <w:t xml:space="preserve"> </w:t>
      </w:r>
      <w:r>
        <w:rPr>
          <w:u w:val="single"/>
        </w:rPr>
        <w:t xml:space="preserve">CONFIDENTIALITY OF IDENTIFYING INFORMATION OF CERTAIN CHILD VICTIMS</w:t>
      </w:r>
    </w:p>
    <w:p w:rsidR="003F3435" w:rsidRDefault="0032493E">
      <w:pPr>
        <w:spacing w:line="480" w:lineRule="auto"/>
        <w:ind w:firstLine="720"/>
        <w:jc w:val="both"/>
      </w:pPr>
      <w:r>
        <w:rPr>
          <w:u w:val="single"/>
        </w:rPr>
        <w:t xml:space="preserve">Art.</w:t>
      </w:r>
      <w:r>
        <w:rPr>
          <w:u w:val="single"/>
        </w:rPr>
        <w:t xml:space="preserve"> </w:t>
      </w:r>
      <w:r>
        <w:rPr>
          <w:u w:val="single"/>
        </w:rPr>
        <w:t xml:space="preserve">57E.01.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 person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"Pseudonym" means a set of initials or a fictitious name chosen by a victim to designate the victim in all public files and records concerning the offense, including police summary reports, press releases, and records of judicial proceedings.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Servant" has the meaning assigned by Section 1.07(a), Penal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"Victim" means a child who was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Sections 20A.02(a)(5), (6), (7), or (8), 21.02, 21.11, 22.01, 22.011, 22.02, 22.021, 43.02(a), 43.05(a)(2), 43.21, or 43.25,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that is part of the same criminal episode, as defined by Section 3.01, Penal Code, as an offense described by Paragraph (A).</w:t>
      </w:r>
    </w:p>
    <w:p w:rsidR="003F3435" w:rsidRDefault="0032493E">
      <w:pPr>
        <w:spacing w:line="480" w:lineRule="auto"/>
        <w:ind w:firstLine="720"/>
        <w:jc w:val="both"/>
      </w:pPr>
      <w:r>
        <w:rPr>
          <w:u w:val="single"/>
        </w:rPr>
        <w:t xml:space="preserve">Art.</w:t>
      </w:r>
      <w:r>
        <w:rPr>
          <w:u w:val="single"/>
        </w:rPr>
        <w:t xml:space="preserve"> </w:t>
      </w:r>
      <w:r>
        <w:rPr>
          <w:u w:val="single"/>
        </w:rPr>
        <w:t xml:space="preserve">57E.02.</w:t>
      </w:r>
      <w:r>
        <w:rPr>
          <w:u w:val="single"/>
        </w:rPr>
        <w:t xml:space="preserve"> </w:t>
      </w:r>
      <w:r>
        <w:rPr>
          <w:u w:val="single"/>
        </w:rPr>
        <w:t xml:space="preserve"> </w:t>
      </w:r>
      <w:r>
        <w:rPr>
          <w:u w:val="single"/>
        </w:rPr>
        <w:t xml:space="preserve">CONFIDENTIALITY OF FILES AND RECORDS.  (a) </w:t>
      </w:r>
      <w:r>
        <w:rPr>
          <w:u w:val="single"/>
        </w:rPr>
        <w:t xml:space="preserve"> </w:t>
      </w:r>
      <w:r>
        <w:rPr>
          <w:u w:val="single"/>
        </w:rPr>
        <w:t xml:space="preserve">The office of the attorney general shall develop and distribute to all law enforcement agencies of the state a pseudonym form to record the name, address, telephone number, and pseudonym of a victim.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law enforcement agency investigating the offense shall offer the victim a pseudonym to be used instead of the victim's name to designate the victim in all public files and records concerning the offense, including police summary reports, press releases, and records of judicial proceedings. </w:t>
      </w:r>
      <w:r>
        <w:rPr>
          <w:u w:val="single"/>
        </w:rPr>
        <w:t xml:space="preserve"> </w:t>
      </w:r>
      <w:r>
        <w:rPr>
          <w:u w:val="single"/>
        </w:rPr>
        <w:t xml:space="preserve">A victim who elects to use a pseudonym as provided by this article must complete a pseudonym form developed under this article and return the form to the law enforcement agency investigating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victim who completes and returns a pseudonym form to the law enforcement agency investigating the offense may not be required to disclose the victim's name, address, and telephone number in connection with the investigation or prosecution of the offense.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completed and returned pseudonym form is confidential and may not be disclosed to any person other than a defendant in the case or the defendant's attorney, except on an order of a court of competent jurisdiction. </w:t>
      </w:r>
      <w:r>
        <w:rPr>
          <w:u w:val="single"/>
        </w:rPr>
        <w:t xml:space="preserve"> </w:t>
      </w:r>
      <w:r>
        <w:rPr>
          <w:u w:val="single"/>
        </w:rPr>
        <w:t xml:space="preserve">The court finding required by Subsection (g) is not required to disclose the confidential pseudonym form to the defendant in the case or to the defendant's attorney.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victim completes and returns a pseudonym form to a law enforcement agency under this article, the law enforcement agency receiving the form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the victim's name and substitute the pseudonym for the name on all reports, files, and records in the agency's possession;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attorney for the state of the pseudonym and that the victim has elected to be designated by the pseudonym;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the form in a manner that protects the confidentiality of the information contained on the form.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attorney for the state who receives notice that a victim has elected to be designated by a pseudonym shall ensure that the victim is designated by the pseudonym in all legal proceedings concerning the offense.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of competent jurisdiction may order the disclosure of a victim's name, address, and telephone number only if the court finds that the information is essential in the trial of the defendant for the offense or the identity of the victim is in issue.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required or permitted by other law or by court order, a public servant or other person who has access to or obtains the name, address, telephone number, or other identifying information of a victim may not release or disclose the identifying information to any person who is not assisting in the investigation, prosecution, or defense of the case. </w:t>
      </w:r>
      <w:r>
        <w:rPr>
          <w:u w:val="single"/>
        </w:rPr>
        <w:t xml:space="preserve"> </w:t>
      </w:r>
      <w:r>
        <w:rPr>
          <w:u w:val="single"/>
        </w:rPr>
        <w:t xml:space="preserve">This subsection does not apply to the release or disclosure of a victim's identifying information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victim's parent, conservator, or guardian, unless the victim's parent, conservator, or guardian allegedly committed the offense described by Article 57E.01(4).</w:t>
      </w:r>
    </w:p>
    <w:p w:rsidR="003F3435" w:rsidRDefault="0032493E">
      <w:pPr>
        <w:spacing w:line="480" w:lineRule="auto"/>
        <w:ind w:firstLine="720"/>
        <w:jc w:val="both"/>
      </w:pPr>
      <w:r>
        <w:rPr>
          <w:u w:val="single"/>
        </w:rPr>
        <w:t xml:space="preserve">Art.</w:t>
      </w:r>
      <w:r>
        <w:rPr>
          <w:u w:val="single"/>
        </w:rPr>
        <w:t xml:space="preserve"> </w:t>
      </w:r>
      <w:r>
        <w:rPr>
          <w:u w:val="single"/>
        </w:rPr>
        <w:t xml:space="preserve">57E.03.</w:t>
      </w:r>
      <w:r>
        <w:rPr>
          <w:u w:val="single"/>
        </w:rPr>
        <w:t xml:space="preserve"> </w:t>
      </w:r>
      <w:r>
        <w:rPr>
          <w:u w:val="single"/>
        </w:rPr>
        <w:t xml:space="preserve"> </w:t>
      </w:r>
      <w:r>
        <w:rPr>
          <w:u w:val="single"/>
        </w:rPr>
        <w:t xml:space="preserve">OFFENSE.  (a) </w:t>
      </w:r>
      <w:r>
        <w:rPr>
          <w:u w:val="single"/>
        </w:rPr>
        <w:t xml:space="preserve"> </w:t>
      </w:r>
      <w:r>
        <w:rPr>
          <w:u w:val="single"/>
        </w:rPr>
        <w:t xml:space="preserve">A public servant with access to the name, address, or telephone number of a victim who has a pseudonym under this chapter commits an offense if the public servant knowingly discloses the name, address, or telephone number of the victim to any person who is not assisting in the investigation or prosecution of the offense or to any person other than the defendant, the defendant's attorney, or the person specified in the order of a court of competent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disclosure is required or permitted by other law, a public servant or other person commits an offense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access to or obtains the name, address, or phone number of a victim;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discloses the name, address, or telephone number of the victim to any person who is not assisting in the investigation or prosecution of the offense or to any person other than the defendant, the defendant's attorney, or a person specified in an order of a court of competent jurisdiction.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Subsection (b) that the actor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victim;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victim's parent, conservator, or guardian, unless the victim's parent, conservator, or guardian allegedly committed the offense described by Article 57E.01(4).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this article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office of the attorney general shall develop and distribute to all law enforcement agencies of the state a pseudonym form to record the name, address, telephone number, and pseudonym of a victim as required by Article 57E.02,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