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86R13923 SOS-F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Sheffield</w:t>
      </w:r>
      <w:r xml:space="preserve">
        <w:tab wTab="150" tlc="none" cTlc="0"/>
      </w:r>
      <w:r>
        <w:t xml:space="preserve">H.B.</w:t>
      </w:r>
      <w:r xml:space="preserve">
        <w:t> </w:t>
      </w:r>
      <w:r>
        <w:t xml:space="preserve">No.</w:t>
      </w:r>
      <w:r xml:space="preserve">
        <w:t> </w:t>
      </w:r>
      <w:r>
        <w:t xml:space="preserve">4325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and maintenance of a glaucoma comanagement registry.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153, Occupations Code, is amended by adding Section 153.017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153.017.</w:t>
      </w:r>
      <w:r>
        <w:rPr>
          <w:u w:val="single"/>
        </w:rPr>
        <w:t xml:space="preserve"> </w:t>
      </w:r>
      <w:r>
        <w:rPr>
          <w:u w:val="single"/>
        </w:rPr>
        <w:t xml:space="preserve"> </w:t>
      </w:r>
      <w:r>
        <w:rPr>
          <w:u w:val="single"/>
        </w:rPr>
        <w:t xml:space="preserve">GLAUCOMA COMANAGEMENT REGISTRY.  (a) </w:t>
      </w:r>
      <w:r>
        <w:rPr>
          <w:u w:val="single"/>
        </w:rPr>
        <w:t xml:space="preserve"> </w:t>
      </w:r>
      <w:r>
        <w:rPr>
          <w:u w:val="single"/>
        </w:rPr>
        <w:t xml:space="preserve">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and maintain a registry of ophthalmologists engaged in the comanagement of patients with therapeutic optometrists under Section 351.3581;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the registry available to the public through a link on the board's Internet website.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registry must be searchable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the ophthalmologist;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name of the therapeutic optometrist;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county that an ophthalmologist in the registry lists as a primary practice location.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ophthalmologist engaged in the comanagement of patients under Section 351.3581 shall provide to the board the name of each therapeutic optometrist with whom the ophthalmologist is comanaging patients for inclusion in the comanagement registry maintained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shall establish procedures to allow an ophthalmologist who provides information for inclusion in the comanagement registry maintained under this section to update the information through the registry's Internet website. </w:t>
      </w:r>
      <w:r>
        <w:rPr>
          <w:u w:val="single"/>
        </w:rPr>
        <w:t xml:space="preserve"> </w:t>
      </w:r>
      <w:r>
        <w:rPr>
          <w:u w:val="single"/>
        </w:rPr>
        <w:t xml:space="preserve">The board shall require the ophthalmologist to update the information at least annually.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March 1, 2020, the Texas Medical Board shall establish the registry required by Section 153.017, Occupations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