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w:t>
      </w:r>
      <w:r>
        <w:rPr>
          <w:u w:val="single"/>
        </w:rPr>
        <w:t xml:space="preserve"> </w:t>
      </w:r>
      <w:r>
        <w:rPr>
          <w:u w:val="single"/>
        </w:rPr>
        <w:t xml:space="preserve">The inspector general serves until removed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 </w:t>
      </w:r>
      <w:r>
        <w:rPr>
          <w:u w:val="single"/>
        </w:rPr>
        <w:t xml:space="preserve"> </w:t>
      </w:r>
      <w:r>
        <w:rPr>
          <w:u w:val="single"/>
        </w:rPr>
        <w:t xml:space="preserve">The office is responsible for the investigation, prevention, and detection of criminal misconduct and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criminal, civil, and administrative investigations and initiate reviews of a school district, open-enrollment charter school, regional education service center, or 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perform all other duties and exercise all other powers granted to the office by this subchapter or another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  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LAW ENFORCEMENT OFFICIALS AND OTHER ENTITIES.  (a)  The office may provide information and evidence relating to criminal acts to the State Auditor's Office and appropriate law enforcement officials.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refer matters for further civil, criminal, and administrative action to appropriate administrative and prosecutorial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