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86R11149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solid waste management services contracts; limiting the amount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363, Health and Safety Code, is amended by adding Section 363.120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363.120.</w:t>
      </w:r>
      <w:r>
        <w:rPr>
          <w:u w:val="single"/>
        </w:rPr>
        <w:t xml:space="preserve"> </w:t>
      </w:r>
      <w:r>
        <w:rPr>
          <w:u w:val="single"/>
        </w:rPr>
        <w:t xml:space="preserve"> </w:t>
      </w:r>
      <w:r>
        <w:rPr>
          <w:u w:val="single"/>
        </w:rPr>
        <w:t xml:space="preserve">MUNICIPAL FRANCHISE FEES.  A municipality may not charge a person granted a franchise to provide solid waste management services in the municipality franchise fees of more than two percent of the gross receipts of the franchisee for the sale of services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364.034(f),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a political subdivision, including a county or a municipality, may not restrict the right of an entity to contract with a licensed waste hauler for the collection and removal of domestic septage or of grease trap waste, grit trap waste, lint trap waste, or sand trap waste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may not restrict the right of an entity to contract with a person other than the municipality or an exclusive franchisee of the municipality for solid waste management services for commercial or industrial waste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contract for solid waste management services entered into on or after the effective date of this Act. A contract for solid waste management services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