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4345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for disclosing certain information regarding sexual misconduct by an employee, volunteer, or independent contractor of a charitable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84, Civil Practice and Remedies Code, is amended by adding Section 84.0066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84.0066.</w:t>
      </w:r>
      <w:r>
        <w:rPr>
          <w:u w:val="single"/>
        </w:rPr>
        <w:t xml:space="preserve"> </w:t>
      </w:r>
      <w:r>
        <w:rPr>
          <w:u w:val="single"/>
        </w:rPr>
        <w:t xml:space="preserve"> </w:t>
      </w:r>
      <w:r>
        <w:rPr>
          <w:u w:val="single"/>
        </w:rPr>
        <w:t xml:space="preserve">LIABILITY FOR DISCLOSING SEXUAL MISCONDUCT.  (a)  A charitable organization, or an employee, volunteer, or independent contractor of a charitable organization, acting in good faith, is immune from civil liability for any act to disclose to an individual's current or prospective employer information reasonably believed to be true about an allegation that an individual who was employed by or served as a volunteer or independent contractor for the charitable organization or its associated charitable organizations: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engaged in sexual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abused another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sexually harassed another individual;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committed an offense under any of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20A.02(a)(3), (4), (7), or (8) (sex trafficking of persons);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20A.03 (continuous trafficking of persons), if based partly or wholly on conduct that constitutes an offense under Section 20A.02(a)(3), (4), (7), or (8);</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22.011 (sexual assault) or 22.021 (aggravated sexual assault);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Chapter 21 (sexual offenses) or 43 (public indecency).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Immunity from civil liability under Subsection (a) applies in relation to an allegation described by that subsection that was required to have been reported as abuse under Chapter 261, Family Code, only if the allegation has been, at the time of the act to disclose, previously reported to an appropriate agency under Section 261.103, Family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is not immune under this section from civil or criminal liability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disclosing the individual's own conduct that constitutes: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sexual misconduct;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sexual abuse of another individual;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sexual harassment of another individual;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any of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20A.02(a)(3), (4), (7), or (8) (sex trafficking of persons);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20A.03 (continuous trafficking of persons), if based partly or wholly on conduct that constitutes an offense under Section 20A.02(a)(3), (4), (7), or (8);</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22.011 (sexual assault) or 22.021 (aggravated sexual assault);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Chapter 21 (sexual offenses) or 43 (public indecency);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in bad faith or with a malicious purpose in making a disclosure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84.0066,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4345 was passed by the House on May 8,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4345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