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86R30826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4346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4346:</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4346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off-site restaurant services; authorizing a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437.022.</w:t>
      </w:r>
      <w:r>
        <w:rPr>
          <w:u w:val="single"/>
        </w:rPr>
        <w:t xml:space="preserve"> </w:t>
      </w:r>
      <w:r>
        <w:rPr>
          <w:u w:val="single"/>
        </w:rPr>
        <w:t xml:space="preserve"> </w:t>
      </w:r>
      <w:r>
        <w:rPr>
          <w:u w:val="single"/>
        </w:rPr>
        <w:t xml:space="preserve">OFF-SITE RESTAURANT SERVICES.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"Catering services" means the preparation and transport of food by an off-site restaurant service operator for consumption at a location other than the premises of the food service establishment of the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"Off-site restaurant service broker" means a person who contracts with an off-site restaurant service operator for the operator to provide off-site restaurant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"Off-site restaurant service operator" means a food service establishment that provides off-site restaurant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"Off-site restaurant services" means the preparation and transport of meals by an off-site restaurant service operator for service, assembly, individual sale, and consumption at a location other than the premises of the food service establishment of the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off-site restaurant service operator may provide off-site restaurant services directly or may provide the services under a contract with an off-site restaurant service broker.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  The rules must require an off-site restaurant service operator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off-site restaurant services only at a location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or adjacent to a commercial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access to toilets, urinals, a mop sink, and a portable or plumbed handwashing sink for customers and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all food on the premises of the operator and transport the food to the off-site location;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off-site restaurant services for not more than two and one-half hours in any twelve-hour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utensils, linens, and other supplies necessary to ensure that food is protected and work spaces are kept clean;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food provided by the operator is properly time or temperature controlled at the off-site location and time or temperature readings of the food are recorded.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home-rule municipality may not adopt or enforce a requirement relating to the provision of off-site restaurant services that is more stringent than a requirement prescribed by the executive commissioner under Subsection (c) or that relates to an issue not specifically addressed in rules adopted in accordance with that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or a municipality, county, or public health district may only require an off-site restaurant service operator that is providing off-site restaurant services to obtain as an additional permit under this chapter the type of permit the operator is required to obtain to provide catering services under this chapter in the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or a municipality, county, or public health district may not require an off-site restaurant service broker to obtain a food service establishment permit under this chapter to contract for the provision of off-site restaurant services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home-rule municipality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who owns, operates, or otherwise exercises control over a location at which off-site restaurant services are provided to obtain a permit before the services are provided at the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a reasonable fee for the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required by Section 437.022,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off-site restaurant services provided on or after January 1, 2020. Off-site restaurant services provided before that date are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