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86R5400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4360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of permit applications for municipal solid waste facilities and the issuance of a notice of deficiency.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361, Health and Safety Code, is amended by adding Section 361.0661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361.0661.</w:t>
      </w:r>
      <w:r>
        <w:rPr>
          <w:u w:val="single"/>
        </w:rPr>
        <w:t xml:space="preserve"> </w:t>
      </w:r>
      <w:r>
        <w:rPr>
          <w:u w:val="single"/>
        </w:rPr>
        <w:t xml:space="preserve"> </w:t>
      </w:r>
      <w:r>
        <w:rPr>
          <w:u w:val="single"/>
        </w:rPr>
        <w:t xml:space="preserve">REVIEW OF PERMIT APPLICATION FOR MUNICIPAL SOLID WASTE FACILITY; NOTICE OF DEFICIENCY.  (a)  The commission shall review each application for a permit for a municipal solid waste facility promptly.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after review of an application described by Subsection (a), the commission finds that necessary information is omitted from the application, that the application contains incorrect information that is material to the application, or that more information is necessary to complete the processing of the application, the commission shall issue a notice of deficiency and order the information to be provided to the commission not later than the 60th day after the date the notice is issued.  If the information is not provided to the commission on or before that date, the commission shall dismiss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issue a notice of deficiency for an application described by Subsection (a) only for the reasons specified by Subsection (b).  For purposes of determining whether an application contains incorrect information that is material to the application, the commission may not consider administrative or clerical errors, including typographical errors.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of a conflict between this section and Section 361.066 or a rule adopted under that section, this section controls.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permit that is submitted to the Texas Commission on Environmental Quality on or after the effective date of this Act.  An application for a permit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