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impact of psychotropic medications.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</w:t>
      </w:r>
      <w:r>
        <w:t xml:space="preserve">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Health and Human Services Commission shall conduct a study to determine: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suicides of persons having been prescribed psychotropic medication;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length of psychotropic treatment completed by persons described by Subdivision (1)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October 1, 2020, the Health and Human Services Commission shall file a report containing the results of the study and recommendations for legislation with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