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86R12509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wind-powered energy device construction areas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240, Local Government Code, is amended by adding Subchapter F to read as follows:</w:t>
      </w:r>
    </w:p>
    <w:p w:rsidR="003F3435" w:rsidRDefault="0032493E">
      <w:pPr>
        <w:spacing w:line="480" w:lineRule="auto"/>
        <w:jc w:val="center"/>
      </w:pPr>
      <w:r>
        <w:rPr>
          <w:u w:val="single"/>
        </w:rPr>
        <w:t xml:space="preserve">SUBCHAPTER F.  WIND-POWERED ENERGY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"Military aviation facility" means a base, station, fort, or camp at which fixed-wing aviation operations or training is conducted by the United States Air Force, the United States Air Force Reserve, the United States Army, the United States Army Reserve, the United States Navy, the United States Navy Reserve, the United States Marine Corps, the United States Marine Corps Reserve, the United States Coast Guard, the United States Coast Guard Reserve, or the Texas National Guard.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"Wind-powered energy device" means an apparatus designed or adapted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convert the energy available in the wind into thermal, mechanical, or electrical energy;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store the energy converted under Paragraph (A), either in the form to which originally converted or another form;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distribute the energy converted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240.102.</w:t>
      </w:r>
      <w:r>
        <w:rPr>
          <w:u w:val="single"/>
        </w:rPr>
        <w:t xml:space="preserve"> </w:t>
      </w:r>
      <w:r>
        <w:rPr>
          <w:u w:val="single"/>
        </w:rPr>
        <w:t xml:space="preserve"> </w:t>
      </w:r>
      <w:r>
        <w:rPr>
          <w:u w:val="single"/>
        </w:rPr>
        <w:t xml:space="preserve">APPLICABILITY OF SUBCHAPTER.  This subchapter applies only to a county in which a military aviation facility that trains military personnel to pilot aircraft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240.103.</w:t>
      </w:r>
      <w:r>
        <w:rPr>
          <w:u w:val="single"/>
        </w:rPr>
        <w:t xml:space="preserve"> </w:t>
      </w:r>
      <w:r>
        <w:rPr>
          <w:u w:val="single"/>
        </w:rPr>
        <w:t xml:space="preserve"> </w:t>
      </w:r>
      <w:r>
        <w:rPr>
          <w:u w:val="single"/>
        </w:rPr>
        <w:t xml:space="preserve">DESIGNATION OF CONSTRUCTION AREAS.  (a)  The commissioners court of a county by order may, in collaboration with the military aviation facility located in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one or more appropriate locations for a person to install a wind-powered energy device in the unincorporated area of the county in accordance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installation of a wind-powered energy device in the county in an area other than a designated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under Subsection (a) may not apply to a wind-powered energy device installed before the effective date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Areas designated by a county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compatibility with the activities of the military aviation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practicable, constitute in total at least 40 percent of the county's total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