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86R14403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labeling and information requirements for a cottage food product sold through the Internet or by mail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437.0194,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437.0194.</w:t>
      </w:r>
      <w:r xml:space="preserve">
        <w:t> </w:t>
      </w:r>
      <w:r xml:space="preserve">
        <w:t> </w:t>
      </w:r>
      <w:r>
        <w:t xml:space="preserve">CERTAIN SALES BY COTTAGE FOOD PRODUCTION OPERATIONS PROHIBITED </w:t>
      </w:r>
      <w:r>
        <w:rPr>
          <w:u w:val="single"/>
        </w:rPr>
        <w:t xml:space="preserve">OR RESTRICTED</w:t>
      </w:r>
      <w:r>
        <w:t xml:space="preserve">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>
        <w:t xml:space="preserve"> A cottage food production operation may not sell any of the foods described in Section 437.001(2-b)(A)[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through the Internet;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by mail order;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at wholesale.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operates a cottage food production operation may sell a food described by Section 437.001(2-b)(A) through the Internet or by mail order or use a shipping or delivery service for delivery of the food only if the label of the finished food product or a written description of the finished food product provided with the product: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list of each major food allergen, including eggs, nuts, soy, peanuts, milk, or wheat, in the product;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physical address of the cottage food production operation;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common or usual name of the product;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statement: "This food is made in a home kitchen and is not inspected by the Department of State Health Services or a local health department.";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legible.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