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86R10870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the amount of supplemental payments that a person may agree to provide to a school district or any other entity on behalf of a school district under the Texas Economic Development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313.027(i), Tax Code, is amended to read as follows:</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daily attendance, as defined by Section 42.005, Education Code, or </w:t>
      </w:r>
      <w:r>
        <w:rPr>
          <w:u w:val="single"/>
        </w:rPr>
        <w:t xml:space="preserve">$75,000</w:t>
      </w:r>
      <w:r>
        <w:t xml:space="preserve"> [</w:t>
      </w:r>
      <w:r>
        <w:rPr>
          <w:strike/>
        </w:rPr>
        <w:t xml:space="preserve">$50,000</w:t>
      </w:r>
      <w:r>
        <w:t xml:space="preserve">] per year, or for a period that exceeds the period beginning with the period described by Section 313.021(4) and ending December 31 of the third tax year after the date the person's eligibility for a limitation under this chapter expires.</w:t>
      </w:r>
      <w:r xml:space="preserve">
        <w:t> </w:t>
      </w:r>
      <w:r xml:space="preserve">
        <w:t> </w:t>
      </w:r>
      <w:r>
        <w:t xml:space="preserve">This limit does not apply to amounts described by Subsection (f)(1)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pursuant to an application filed under Chapter 313, Tax Code, on or after the effective date of this Act.  An agreement entered into pursuant to an application filed under that chapter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