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86R2985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4374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of prescribed burn directors in connection with prescribed burns.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153, Natural Resources Code, is amended by adding Section 153.083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153.083.</w:t>
      </w:r>
      <w:r>
        <w:rPr>
          <w:u w:val="single"/>
        </w:rPr>
        <w:t xml:space="preserve"> </w:t>
      </w:r>
      <w:r>
        <w:rPr>
          <w:u w:val="single"/>
        </w:rPr>
        <w:t xml:space="preserve"> </w:t>
      </w:r>
      <w:r>
        <w:rPr>
          <w:u w:val="single"/>
        </w:rPr>
        <w:t xml:space="preserve">LIMITATION OF PRESCRIBED BURN DIRECTOR LIABILITY.  (a)  Except as provided by Subsection (b), an individual directing a prescribed burn is not liable for property damage, personal injury, or death caused by or resulting from the burn in excess of the insurance requirements established by the board under Section 153.046 if the individual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an accredited prescribed burning training course approved by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satisfied the experience requirements prescribed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an individual who commits gross negligence or intentionally causes property damage, personal injury, or death.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153.083, Natural Resources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