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use of anti-theft electronic monitoring as a condition of community supervision or release on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17.44(a), (b), (c),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magistrate may require as a condition of release on bond that the defendant submit to:</w:t>
      </w:r>
    </w:p>
    <w:p w:rsidR="003F3435" w:rsidRDefault="0032493E">
      <w:pPr>
        <w:spacing w:line="480" w:lineRule="auto"/>
        <w:ind w:firstLine="1440"/>
        <w:jc w:val="both"/>
      </w:pPr>
      <w:r>
        <w:t xml:space="preserve">(1)</w:t>
      </w:r>
      <w:r xml:space="preserve">
        <w:t> </w:t>
      </w:r>
      <w:r xml:space="preserve">
        <w:t> </w:t>
      </w:r>
      <w:r>
        <w:t xml:space="preserve">home confinement and electronic monitoring under the supervision of an agency designated by the magistrate;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anti-theft electronic monitoring if the defendant is charged with an offense under Section 31.03 or 31.16, Penal Code; or</w:t>
      </w:r>
    </w:p>
    <w:p w:rsidR="003F3435" w:rsidRDefault="0032493E">
      <w:pPr>
        <w:spacing w:line="480" w:lineRule="auto"/>
        <w:ind w:firstLine="1440"/>
        <w:jc w:val="both"/>
      </w:pPr>
      <w:r>
        <w:rPr>
          <w:u w:val="single"/>
        </w:rPr>
        <w:t xml:space="preserve">(3)</w:t>
      </w:r>
      <w:r xml:space="preserve">
        <w:t> </w:t>
      </w:r>
      <w:r xml:space="preserve">
        <w:t> </w:t>
      </w:r>
      <w:r>
        <w:t xml:space="preserve">testing on a weekly basis for the presence of a controlled substance in the defendant's body.</w:t>
      </w:r>
    </w:p>
    <w:p w:rsidR="003F3435" w:rsidRDefault="0032493E">
      <w:pPr>
        <w:spacing w:line="480" w:lineRule="auto"/>
        <w:ind w:firstLine="720"/>
        <w:jc w:val="both"/>
      </w:pPr>
      <w:r>
        <w:t xml:space="preserve">(b)</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"Anti-theft electronic monitoring" means an electronic monitoring system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a device that is worn or carried by a defendant subject to the electronic monitoring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works in conjunction with retail security technology used in retail stores;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capable of notifying a retail store's security personnel and the monitoring entity when a person subject to monitoring enters the store.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"Controlled</w:t>
      </w:r>
      <w:r>
        <w:t xml:space="preserve"> [</w:t>
      </w:r>
      <w:r>
        <w:rPr>
          <w:strike/>
        </w:rPr>
        <w:t xml:space="preserve">, "controlled</w:t>
      </w:r>
      <w:r>
        <w:t xml:space="preserve">] substance" has the meaning assigned by Section 481.002, Health and Safety Code.</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home confinement and electronic monitoring;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anti-theft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costs of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w:t>
      </w:r>
      <w:r>
        <w:rPr>
          <w:u w:val="single"/>
        </w:rPr>
        <w:t xml:space="preserve">, including anti-theft electronic monitoring,</w:t>
      </w:r>
      <w:r>
        <w:t xml:space="preserve"> or testing for controlled substances under this article may be assessed as court costs or ordered paid directly by the defendant as a condition of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w:t>
      </w:r>
    </w:p>
    <w:p w:rsidR="003F3435" w:rsidRDefault="0032493E">
      <w:pPr>
        <w:spacing w:line="480" w:lineRule="auto"/>
        <w:ind w:firstLine="2880"/>
        <w:jc w:val="both"/>
      </w:pPr>
      <w:r>
        <w:t xml:space="preserve">(i)</w:t>
      </w:r>
      <w:r xml:space="preserve">
        <w:t> </w:t>
      </w:r>
      <w:r xml:space="preserve">
        <w:t> </w:t>
      </w:r>
      <w:r>
        <w:t xml:space="preserve">the facility for room and board; and</w:t>
      </w:r>
    </w:p>
    <w:p w:rsidR="003F3435" w:rsidRDefault="0032493E">
      <w:pPr>
        <w:spacing w:line="480" w:lineRule="auto"/>
        <w:ind w:firstLine="2880"/>
        <w:jc w:val="both"/>
      </w:pPr>
      <w:r>
        <w:t xml:space="preserve">(ii)</w:t>
      </w:r>
      <w:r xml:space="preserve">
        <w:t> </w:t>
      </w:r>
      <w:r xml:space="preserve">
        <w:t> </w:t>
      </w:r>
      <w:r>
        <w:t xml:space="preserve">the defendant's dependents for their support during the period of custodial supervision;</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r>
        <w:rPr>
          <w:u w:val="single"/>
        </w:rPr>
        <w:t xml:space="preserve">, other than anti-theft electronic monitoring as required under Subdivision (24)</w:t>
      </w:r>
      <w:r>
        <w:t xml:space="preserve">;</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56.32,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t xml:space="preserve">pay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t xml:space="preserve">make one payment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reimburse the county in which the prosecution was instituted for compensation paid to any interpreter in the case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submit to anti-theft electronic monitoring, as defined by Article 17.44, if the defendant is placed on community supervision for an offense under Section 31.03 or 31.16,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Article 17.44, Code of Criminal Procedure, as amended by this Act, applies only to a person who is released on bond following an arrest for an offense committed on or after the effective date of this Act. </w:t>
      </w:r>
      <w:r>
        <w:t xml:space="preserve"> </w:t>
      </w:r>
      <w:r>
        <w:t xml:space="preserve">A person released on bond following an arrest for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 42A.301(b), Code of Criminal Procedure, as amended by this Act, applies only to a person who is placed on community supervision for an offense committed on or after the effective date of this Act. </w:t>
      </w:r>
      <w:r>
        <w:t xml:space="preserve"> </w:t>
      </w:r>
      <w:r>
        <w:t xml:space="preserve">A person who is placed on community supervision for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