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special purpose districts to use hotel occupancy tax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11011, Special District Local Laws Code, is amended by adding Section 11011.004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11011.004.</w:t>
      </w:r>
      <w:r>
        <w:rPr>
          <w:u w:val="single"/>
        </w:rPr>
        <w:t xml:space="preserve"> </w:t>
      </w:r>
      <w:r>
        <w:rPr>
          <w:u w:val="single"/>
        </w:rPr>
        <w:t xml:space="preserve"> </w:t>
      </w:r>
      <w:r>
        <w:rPr>
          <w:u w:val="single"/>
        </w:rPr>
        <w:t xml:space="preserve">PERFORMANCE ARTS VENUE CONSTRUCTION COSTS.  (a)  The district may use hotel occupancy tax revenue for the construction costs and for the payment of bonds for the construction of a performing arts venue: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on land owned by the district and within 1,000 feet of a convention center facility owned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which events will be primarily attended by tourists who live more than 30 miles from the 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uses hotel occupancy tax revenue for a purpose described by this subsection in an amount that exceeds 15 percent of the total hotel annual hotel occupancy tax revenue collected by the district, the amount of hotel occupancy tax revenue expended for a purpose described by this subsection in excess of 15 percent of the total annual hotel occupancy tax revenue collected by the district shall not exceed the amount of area hotel revenue annually attributable to events at the 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uses hotel occupancy tax revenue for a purpose described by this subsection, the district will not reduce funding for the convention and visitors bureau to a percentage that is less than the average percentage of that revenue allocated by the district for that purpose during the 36-month period preceding the date the district begins using the revenue for a purpose described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if at least 99 percent of the territory of the district is incorporated and the district is dissolved in the manner provided by this Act, the district or municipality may not pledge or spend hotel occupancy tax revenue for the purpose described by this subsection, except to replay the district's debt and other obligations existing before the incorporation with regard to the performing arts center.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