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86R12453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honorably retired peace officer to obtain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411.199,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applicant under this section is not required to complete the handgun proficiency course described by Section 411.188 to obtain a license under this subchapter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Subsection (b) and the other requirements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application not later than the fifth anniversary of the applicant's date of retirement from the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to obtain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