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86R13706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reporting requirement for public schools regarding instructional materials and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31.004, Education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annual certification required under Subsection (a), each school district and open-enrollment charter school shall prepare a list that specifically identifies the instructional materials provided to each student by the district or school that cover each element of the essential knowledge and skills.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 The rules must include the format in which each school district and open-enrollment charter school must provide the list required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