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86R13732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4393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chemical dependency.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1368.004,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group health benefit plan shall provide coverage for  an inpatient rehabilitation program for not less than 90 days to provide the necessary care and treatment of chemical dependency.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1368.005(b),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group health benefit plan may set dollar or</w:t>
      </w:r>
      <w:r>
        <w:rPr>
          <w:u w:val="single"/>
        </w:rPr>
        <w:t xml:space="preserve">, subject to Section 1368.004(c),</w:t>
      </w:r>
      <w:r>
        <w:t xml:space="preserve"> durational limits for coverage required under this chapter that are less favorable than for coverage provided for physical illness generally under the plan if those limits are sufficient to provide appropriate care and treatment under the guidelines and standards adopted under Section 1368.007. </w:t>
      </w:r>
      <w:r>
        <w:t xml:space="preserve"> </w:t>
      </w:r>
      <w:r>
        <w:t xml:space="preserve">If guidelines and standards adopted under Section 1368.007 are not in effect, the dollar and durational limits may not be less favorable than for physical illness generally.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 health benefit plan that is delivered, issued for delivery, or renewed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