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E. Johnson of Dallas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4394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administration by the Texas Department of Housing and Community Affairs of homeless housing and services programs.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2306.2585(a) and (b),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department may administer a homeless housing and services program in each municipality in this state with a population of 285,500 or more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provide for the construction, development, or procurement of housing for homeless persons;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provide local programs to prevent and eliminate homelessness</w:t>
      </w:r>
      <w:r>
        <w:rPr>
          <w:u w:val="single"/>
        </w:rPr>
        <w:t xml:space="preserve">, including the prevention of homelessness that results from displacement due to economic development activities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department may adopt rules to govern the administration of the program, including rules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provide </w:t>
      </w:r>
      <w:r>
        <w:rPr>
          <w:u w:val="single"/>
        </w:rPr>
        <w:t xml:space="preserve">that each municipality described by Subsection (a) receives an</w:t>
      </w:r>
      <w:r>
        <w:t xml:space="preserve"> [</w:t>
      </w:r>
      <w:r>
        <w:rPr>
          <w:strike/>
        </w:rPr>
        <w:t xml:space="preserve">for the</w:t>
      </w:r>
      <w:r>
        <w:t xml:space="preserve">] allocation of any available funding;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provide detailed guidelines as to the scope of the local programs in the municipalities described by Subsection (a).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4394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