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86R10507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ale and beer by certain brewers and manufacturers to ultimate consumers for on-premises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12.052(a),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activities authorized by Section 12.01, the holder of a brewer's permit [</w:t>
      </w:r>
      <w:r>
        <w:rPr>
          <w:strike/>
        </w:rPr>
        <w:t xml:space="preserve">whose annual production of ale, together with the annual production of beer by the holder of a manufacturer's license at all premises wholly or partly owned, directly or indirectly, by the permit holder or an affiliate or subsidiary of the permit holder, does not exceed a total of 225,000 barrels</w:t>
      </w:r>
      <w:r>
        <w:t xml:space="preserve">] may sell ale produced on the brewer's premises under the permit to ultimate consumers on the brewer's premises for responsible consumption on the brewer's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62.122(a),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manufacturer's licensee [</w:t>
      </w:r>
      <w:r>
        <w:rPr>
          <w:strike/>
        </w:rPr>
        <w:t xml:space="preserve">whose annual production of beer, together with the annual production of ale by the holder of a brewer's permit at all premises wholly or partly owned, directly or indirectly, by the license holder or an affiliate or subsidiary of the license holder, does not exceed 225,000 barrels</w:t>
      </w:r>
      <w:r>
        <w:t xml:space="preserve">] may sell beer produced on the manufacturer's premises under the license to ultimate consumers on the manufacturer's premises for responsible consumption on the manufacturer's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Alcoholic Beverage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12.052(c), (d), (e), and (f);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62.122(c), (d), (e), and (f).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