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86R4077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w:t>
      </w:r>
      <w:r xml:space="preserve">
        <w:tab wTab="150" tlc="none" cTlc="0"/>
      </w:r>
      <w:r>
        <w:t xml:space="preserve">H.B.</w:t>
      </w:r>
      <w:r xml:space="preserve">
        <w:t> </w:t>
      </w:r>
      <w:r>
        <w:t xml:space="preserve">No.</w:t>
      </w:r>
      <w:r xml:space="preserve">
        <w:t> </w:t>
      </w:r>
      <w:r>
        <w:t xml:space="preserve">4404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practices by an insurer that issues a preferred provider benefit plan regarding use of freestanding emergency medical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1301, Insurance Code, is amended by adding Section 1301.0059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1301.0059.</w:t>
      </w:r>
      <w:r>
        <w:rPr>
          <w:u w:val="single"/>
        </w:rPr>
        <w:t xml:space="preserve"> </w:t>
      </w:r>
      <w:r>
        <w:rPr>
          <w:u w:val="single"/>
        </w:rPr>
        <w:t xml:space="preserve"> </w:t>
      </w:r>
      <w:r>
        <w:rPr>
          <w:u w:val="single"/>
        </w:rPr>
        <w:t xml:space="preserve">USE OF FREESTANDING EMERGENCY MEDICAL CARE FACILITIES.  It is an unfair method of competition or an unfair or deceptive act or practice under Chapter 541 for an insurer to encourage or instruct an insured to not receive health care services from a freestanding emergency medical 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