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4405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certain applicants for a vehicle dealer general distinguishing number complete a dealer education course.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503.029, Transportation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an original dealer general distinguishing number who proposes to be an independent motor vehicle dealer and who does not hold a general distinguishing number as a franchised motor vehicle dealer or independent motor vehicle dealer shall submit to the department evidence that the applicant completed, in the 24-month period before the date the application is filed, a dealer education course approved by the department.  The course must be not less than 8 hours and not more than 12 hours in length.  If the applicant is an entity, the course must be completed by one individual listed on the application as an owner, manager, officer, or director of the entity.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approve a dealer education course under Subsection (d)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 of the course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 as defined by Section 61.003,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professional or trade association in the field of motor vehicle sales domiciled in this state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in business for at least five years;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as a majority of its membership, members who are motor vehicle dealers licensed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course curriculum, materials, and instructors satisfy any applicable department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course includes instruction in federal and state laws and department rules applicable to independent motor vehicle dealers;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cost per course participant does not exceed: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$150 for a course offered online;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$200 for a course offered through classroom instruction;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 successful completion of the course, a course participant receives a certificate of completion from the course provider.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applicant is not required to comply with Subsection (d) if, at the time the application is submitted, an online dealer education course is not currently approved by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503.029(d), Transportation Code, as added by this Act, applies only to an application for an original dealer general distinguishing number filed with the Texas Department of Motor Vehicles on or after September 1, 2020.  An application filed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2020, the Texas Department of Motor Vehicles shall begin accepting applications for approval from providers of dealer education courses in accordance with Sections 503.029(d) and (e), Transportation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