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86R1408 YDB-F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Cain</w:t>
      </w:r>
      <w:r xml:space="preserve">
        <w:tab wTab="150" tlc="none" cTlc="0"/>
      </w:r>
      <w:r>
        <w:t xml:space="preserve">H.B.</w:t>
      </w:r>
      <w:r xml:space="preserve">
        <w:t> </w:t>
      </w:r>
      <w:r>
        <w:t xml:space="preserve">No.</w:t>
      </w:r>
      <w:r xml:space="preserve">
        <w:t> </w:t>
      </w:r>
      <w:r>
        <w:t xml:space="preserve">4407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prohibited state contracts with vendors that perform elective abortions, destructive embryonic stem cell research, or human cloning or that conduct research on human fetal tissue.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2155, Government Code, is amended by adding Section 2155.0061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2155.0061.</w:t>
      </w:r>
      <w:r>
        <w:rPr>
          <w:u w:val="single"/>
        </w:rPr>
        <w:t xml:space="preserve"> </w:t>
      </w:r>
      <w:r>
        <w:rPr>
          <w:u w:val="single"/>
        </w:rPr>
        <w:t xml:space="preserve"> </w:t>
      </w:r>
      <w:r>
        <w:rPr>
          <w:u w:val="single"/>
        </w:rPr>
        <w:t xml:space="preserve">PROHIBITION ON CERTAIN BIDS AND CONTRACTS FROM CERTAIN VENDORS.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"Abortion" has the meaning assigned by Section 245.002, Health and Safety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"Affiliate" means an entity or individual that has, with another entity or individual, a legal relationship created or governed by at least one written document.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"Destructive embryonic stem cell research" means any research that involves the destruction or disaggregation of a human embryo.</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"Human cloning" means the use of somatic cell nuclear transfer to produce a human embryo.</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"Human embryo" means a living organism of the species Homo sapiens through the first 56 days of development, excluding any time during which development is suspended.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"Human fetal tissue" means any gestational human organ, cell, or tissue from an unborn child.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"Somatic cell" means a cell of a developing or fully developed human being that is not and will not become a sperm or egg cell.</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"Somatic cell nuclear transfer" means the transfer of the nucleus of a somatic cell into a human egg cell from which the nucleus has been removed or rendered inert.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state agency may not accept a bid from or award a contract, including a contract for which purchasing authority is delegated to a state agency, to a vendor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performs or promotes elective abortions or is an affiliate of an entity or individual that performs or promotes elective abortions;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contracts with an entity or individual that performs or promotes elective abortions;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intentionally or knowingly: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performs or attempts to perform destructive embryonic stem cell research or human cloning;</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participates in an attempt to perform destructive embryonic stem cell research or human cloning;</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transfers or receives a human embryo for destructive embryonic stem cell research or a human embryo produced by human cloning;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transfers or receives, wholly or partly, any human egg cell, human sperm cell, human embryo, or somatic cell for human cloning;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transfers or receives human fetal tissue, cells, or organs donated by a facility licensed under Chapter 243 or 245, Health and Safety Code;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conducts scientific research on human fetal tissue, cells, or organs donated by a facility licensed under Chapter 243 or 245, Health and Safety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bid or contract award subject to the requirements of this section must include the following statement:</w:t>
      </w:r>
    </w:p>
    <w:p w:rsidR="003F3435" w:rsidRDefault="0032493E">
      <w:pPr>
        <w:spacing w:line="480" w:lineRule="auto"/>
        <w:ind w:firstLine="720"/>
        <w:jc w:val="both"/>
      </w:pPr>
      <w:r>
        <w:rPr>
          <w:u w:val="single"/>
        </w:rPr>
        <w:t xml:space="preserve">"Under Section 2155.0061, Government Code, the vendor certifies that the entity or individual named in this bid or contract is not ineligible to receive the specified contract and acknowledges that this contract may be terminated and payment withheld if this certification is inaccurate."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state agency that determines a vendor is ineligible to have a bid accepted or contract awarded under Subsection (b) shall immediately terminate the bid or contract without further obligation to the vendor.  A state agency that receives information alleging a vendor submitted a bid for a state contract or awarded a state contract in violation of Subsection (b) shall investigate and make a determination on the validity of the information.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entity or individual is not considered an affiliate of another entity or individual for purposes of this section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entity or individual demonstrates with written documentation: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common ownership, management, or control between the parties to the relationship;</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existence of a franchise granted by the other entity or individual to the affiliate;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granting or extension of a license or other agreement authorizing the affiliate to use the other entity's or individual's brand name, trademark, service mark, or other registered identification mark;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written document evidencing the affiliation: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 certificate of formation, a franchise agreement, standards of affiliation, bylaws, articles of incorporation, or a license;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not an agreement related to a physician's participation in a physician group practice, hospital group agreement, staffing agreement, management agreement, or collaborative practice agreement.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entity or individual promotes an elective abortion for purposes of this section by advancing, furthering, advocating, or popularizing the elective abortion, including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securing elective abortion services for a patient through affirmative action,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making an appointment;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obtaining consent for the elective abortion;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arranging for transportation;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negotiating a reduction in an elective abortion provider fee;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arranging or scheduling an elective abortion procedure; 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referring a woman to an entity or individual that performs elective abortions;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providing or displaying to a patient information that publicizes or advertises an elective abortion service or provider;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using, displaying, or operating under a brand name, trademark, service mark, or other registered identification mark of an entity or individual that performs or promotes elective abortions.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entity or individual does not promote an elective abortion for purposes of this section by providing to a patient on request: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neutral, factual information;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nondirective counseling.</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This section does not create a cause of action to contest a bid or award of a state contract.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in relation to a contract for which a state agency first advertises or otherwise solicits bids, proposals, offers, or qualifications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July 1, 2019,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