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86R14179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H.B.</w:t>
      </w:r>
      <w:r xml:space="preserve">
        <w:t> </w:t>
      </w:r>
      <w:r>
        <w:t xml:space="preserve">No.</w:t>
      </w:r>
      <w:r xml:space="preserve">
        <w:t> </w:t>
      </w:r>
      <w:r>
        <w:t xml:space="preserve">4410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counties and municipalities to limit the photography of critical infrastructure.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250, Local Government Code, is amended by adding Section 250.009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250.009.</w:t>
      </w:r>
      <w:r>
        <w:rPr>
          <w:u w:val="single"/>
        </w:rPr>
        <w:t xml:space="preserve"> </w:t>
      </w:r>
      <w:r>
        <w:rPr>
          <w:u w:val="single"/>
        </w:rPr>
        <w:t xml:space="preserve"> </w:t>
      </w:r>
      <w:r>
        <w:rPr>
          <w:u w:val="single"/>
        </w:rPr>
        <w:t xml:space="preserve">PHOTOGRAPHY OF CRITICAL INFRASTRUCTURE.  (a)  In this section, "critical infrastructure" includes all public or private assets, systems, and functions vital to the security, governance, public health and safety, economy, or morale of the state or the 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by order or a municipality by ordinance may restrict photography of critical infrastructure. An order or ordinance adopted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distance from which critical infrastructure may not be photographed;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notice of the photography restrictions be posted prominently and conspicuously in public areas around the critical infrastructure.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