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advertising.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251.001(16), Elections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"Political advertising" means a communication supporting or opposing a candidate for nomination or election to a public office or office of a political party, a political party, a public officer, or a measure</w:t>
      </w:r>
      <w:r>
        <w:rPr>
          <w:u w:val="single"/>
        </w:rPr>
        <w:t xml:space="preserve">, including a communication that references the position of a candidate or officeholder on a measure if the communication is made with a principal intent of positively or negatively influencing the public's perception of the candidate or officeholder,</w:t>
      </w:r>
      <w:r>
        <w:t xml:space="preserve">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return for consideration, is published in a newspaper, magazine, or other periodical or is broadcast by radio or television;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appears: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in a pamphlet, circular, flier, billboard or other sign, bumper sticker, or similar form of written communication;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on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