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4429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mental health first aid training for veterans and immediate family members of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434.352(b),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mental health program for veterans, the commission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 training to peer service coordinators and peers in accordance with Section 434.353;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 technical assistance to peer service coordinators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identify, train, and communicate with community-based licensed mental health professionals, community-based organizations, and faith-based organizations;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coordinate services for justice involved veterans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local delivery to veterans and immediate family members of veterans of mental health first aid for veterans training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1001.205,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1001.205.</w:t>
      </w:r>
      <w:r xml:space="preserve">
        <w:t> </w:t>
      </w:r>
      <w:r xml:space="preserve">
        <w:t> </w:t>
      </w:r>
      <w:r>
        <w:t xml:space="preserve">REPORTS.  (a)  Not later than September 30 of each year, a local mental health authority shall provide to the department the number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employees and contractors of the authority who were trained as mental health first aid trainers under Section 1001.202 during the preceding fiscal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university employees, school district employees, and school resource officers who completed a mental health first aid training program offered by the authority under Section 1001.203 during the preceding fiscal year;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individuals who are not university employees, school district employees, or school resource officers who completed a mental health first aid training program offered by the authority during the preceding fiscal year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veterans and immediate family members of veterans who completed the veterans module of a mental health first aid training program offered by the authority during the preceding fiscal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 of each year, the department shall compile the information submitted by local mental health authorities as required by Subsection (a) and submit a report to the legislature containing the number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authority employees and contractors trained as mental health first aid trainers during the preceding fiscal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university employees, school district employees, and school resource officers who completed a mental health first aid training program provided by an authority during the preceding fiscal year;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individuals who are not university employees, school district employees, or school resource officers who completed a mental health first aid training program provided by an authority during the preceding fiscal year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veterans and immediate family members of veterans who completed the veterans module of a mental health first aid training program provided by an authority during the preceding fiscal year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1001.222(a),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develop a mental health intervention program for veterans. </w:t>
      </w:r>
      <w:r>
        <w:t xml:space="preserve"> </w:t>
      </w:r>
      <w:r>
        <w:t xml:space="preserve">The program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peer-to-peer counseling;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access to licensed mental health professionals for peer service coordinators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training approved by the department for peer service coordinators, licensed mental health professionals,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technical assistance for peer service coordinators, licensed mental health professionals, and peers;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identification, retention, and screening of community-based licensed mental health professionals;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suicide prevention training for peer service coordinators and peers;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veteran jail diversion services, including veterans treatment courts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coordination of mental health first aid for veterans training to veterans and immediate family members of veterans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4429 was passed by the House on April 30, 2019, by the following vote:</w:t>
      </w:r>
      <w:r xml:space="preserve">
        <w:t> </w:t>
      </w:r>
      <w:r xml:space="preserve">
        <w:t> </w:t>
      </w:r>
      <w:r>
        <w:t xml:space="preserve">Yeas 139, Nays 0, 1 present, not voting; and that the House concurred in Senate amendments to H.B. No. 4429 on May 24, 2019, by the following vote:</w:t>
      </w:r>
      <w:r xml:space="preserve">
        <w:t> </w:t>
      </w:r>
      <w:r xml:space="preserve">
        <w:t> </w:t>
      </w:r>
      <w:r>
        <w:t xml:space="preserve">Yeas 138,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4429 was passed by the Senate, with amendments, on May 21,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