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H.B.</w:t>
      </w:r>
      <w:r xml:space="preserve">
        <w:t> </w:t>
      </w:r>
      <w:r>
        <w:t xml:space="preserve">No.</w:t>
      </w:r>
      <w:r xml:space="preserve">
        <w:t> </w:t>
      </w:r>
      <w:r>
        <w:t xml:space="preserve">4441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requests for certain information by the Office of Court Administration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71.035,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its authority described in subsection (b), the council shall request: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statistics related to reductions of state jail felony punishment to misdemeanor punishment in accordance with Section 12.44(a) and (b), Penal code, including the number and type of offenses for which courts sentenced defendants in under Section 12.44(a), Penal Code, and the number and type of offenses for which court authorized prosecution of state jail felony offenses  under Section 12.44 (b),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defendants placed into pretrial diversion or pretrial intervention programs.</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