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4444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consumer protections against surprise billing.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17, Business &amp; Commerce Code, is amended by adding Section 17.464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17.464.</w:t>
      </w:r>
      <w:r>
        <w:rPr>
          <w:u w:val="single"/>
        </w:rPr>
        <w:t xml:space="preserve"> </w:t>
      </w:r>
      <w:r>
        <w:rPr>
          <w:u w:val="single"/>
        </w:rPr>
        <w:t xml:space="preserve"> </w:t>
      </w:r>
      <w:r>
        <w:rPr>
          <w:u w:val="single"/>
        </w:rPr>
        <w:t xml:space="preserve">SURPRISE BILLING.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care" has the meaning assigned by Section 1301.155.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care provider" means a physician, health care practitioner, facility, or other health care provider who provides emergency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"Facility" has the meaning assigned by Section 324.001,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"Facility-based provider" means a physician or health care provider who provides health care services to patients of a health care facility.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practitioner" means an individual who is licensed to provide health care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provider" means a physician or health care provider who has contracted with an eligible plan administrator to provide services to enrollees.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"Surprise bill" means a bill received by an insured or enrollee for amounts in addition to the applicable copayment, coinsurance, and deductible: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services furnished by an out-of-network facility-based provider who performed the service at a facility that is an in-network provider;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emergency care services furnished by an out-of-network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Section 17.46(a), the term "false, misleading, or deceptive acts or practices" includes a facility-based provider that bills an enrollee receiving health care  services described by Subsection (a)(7), except for the enrollee's responsibility under the enrollee's health plan, including an applicable copayment, coinsurance, or deductible.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protection division may not bring an action under Section 17.47 for an act or practice described by Subsection (b) if the bill sent to the enrollee is less than five hundred dollars.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 action brought under Section 17.47 to enforce this section, the consumer protection division may request, and the trier of fact may award the recovery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reasonable expenses incurred by the division in obtaining any remedy available under Section 17.47, including the cost of investigation, witness fees, and deposition expenses.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