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86R23173 SRS-F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Cain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4447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4447: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Klick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4447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public inspection of early voting rosters.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87.121, Election Code, is amended by amending Subsections (g) and (h) and adding Subsection (i)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Information on the roster for a person who votes an early voting ballot by personal appearance shall be made available for public inspection </w:t>
      </w:r>
      <w:r>
        <w:rPr>
          <w:u w:val="single"/>
        </w:rPr>
        <w:t xml:space="preserve">as provided by Subsection (i)</w:t>
      </w:r>
      <w:r>
        <w:t xml:space="preserve"> </w:t>
      </w:r>
      <w:r>
        <w:t xml:space="preserve">not later than </w:t>
      </w:r>
      <w:r>
        <w:rPr>
          <w:u w:val="single"/>
        </w:rPr>
        <w:t xml:space="preserve">11 a.m.</w:t>
      </w:r>
      <w:r>
        <w:t xml:space="preserve"> [</w:t>
      </w:r>
      <w:r>
        <w:rPr>
          <w:strike/>
        </w:rPr>
        <w:t xml:space="preserve">the beginning of regular business hours</w:t>
      </w:r>
      <w:r>
        <w:t xml:space="preserve">] on the day after the date the information is entered on the roster under Subsection (c).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Information on the roster for a person who votes an early voting ballot by mail shall be made available for public inspection </w:t>
      </w:r>
      <w:r>
        <w:rPr>
          <w:u w:val="single"/>
        </w:rPr>
        <w:t xml:space="preserve">as provided by Subsection (i)</w:t>
      </w:r>
      <w:r>
        <w:t xml:space="preserve"> </w:t>
      </w:r>
      <w:r>
        <w:t xml:space="preserve">not later than </w:t>
      </w:r>
      <w:r>
        <w:rPr>
          <w:u w:val="single"/>
        </w:rPr>
        <w:t xml:space="preserve">11 a.m. on</w:t>
      </w:r>
      <w:r>
        <w:t xml:space="preserve"> the day following the day the early voting clerk receives a ballot voted by mail.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information under Subsections (g) and (h) must be made available: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an election in which the county clerk is the early voting clerk: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the publicly accessible Internet website of the county;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county does not maintain a website, on the bulletin board used for posting notice of meetings of the commissioners court;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an election not described by Subdivision (1):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the publicly accessible Internet website of the authority ordering the election;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authority ordering the election does not maintain a website, on the bulletin board used for posting notice of meetings of the governing body of the authority.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4447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