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86R14364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4453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the criminal offense of retaliation involving immigration status.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36, Penal Code, is amended by adding Section 36.061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36.061.</w:t>
      </w:r>
      <w:r>
        <w:rPr>
          <w:u w:val="single"/>
        </w:rPr>
        <w:t xml:space="preserve"> </w:t>
      </w:r>
      <w:r>
        <w:rPr>
          <w:u w:val="single"/>
        </w:rPr>
        <w:t xml:space="preserve"> </w:t>
      </w:r>
      <w:r>
        <w:rPr>
          <w:u w:val="single"/>
        </w:rPr>
        <w:t xml:space="preserve">RETALIATION INVOLVING IMMIGRATION STATUS.  (a) </w:t>
      </w:r>
      <w:r>
        <w:rPr>
          <w:u w:val="single"/>
        </w:rPr>
        <w:t xml:space="preserve"> </w:t>
      </w:r>
      <w:r>
        <w:rPr>
          <w:u w:val="single"/>
        </w:rPr>
        <w:t xml:space="preserve">A person commits an offense if the person, with the intent to prevent or delay the service of another as a prospective informant or witness, intentionally or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reports or threatens to report the other person's immigration status to United States Immigration and Customs Enforcement or another law enforcement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destroys or withholds, or threatens to destroy or withhold, a form of government-issued identifying documentation issued to the other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an offense under this section is a felony of the third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felony of the second degree if the victim was a prospective informant in the investigation of, or a prospective witness in the prosecution of, an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involving family violence, as defined by Section 71.004,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Section 20A.02, 20A.03, 21.02, 21.11, 22.011, or 22.021, Penal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or the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