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4456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30,</w:t>
      </w:r>
      <w:r xml:space="preserve">
        <w:t> </w:t>
      </w:r>
      <w:r>
        <w:t xml:space="preserve">2019, read first time and referred to Committee on Business &amp; Commerce;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8,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sale of alcoholic beverages in areas annexed or owned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251.726(a),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that </w:t>
      </w:r>
      <w:r>
        <w:rPr>
          <w:u w:val="single"/>
        </w:rPr>
        <w:t xml:space="preserve">has within its boundaries all or part of an international airport operated jointly by two municipalities and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that</w:t>
      </w:r>
      <w:r>
        <w:t xml:space="preserve">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partially located in three counties, two of which have a population of 1.8 million or more;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</w:t>
      </w:r>
      <w:r>
        <w:t xml:space="preserve">] primarily located in a county with a population of 1.8 million or more;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partially located in five counties, one of which: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1.8 million or more;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with a population of 2.2 million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subject to a limited purpose annexation and development agreement under Subchapter G, Chapter 212, Local Government Code;</w:t>
      </w:r>
      <w:r>
        <w:t xml:space="preserve">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annex an area on request of the owners of land in the area under Subchapter C-3, Chapter 43, Local Government Code</w:t>
      </w:r>
      <w:r>
        <w:t xml:space="preserve"> 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within its boundaries all or part of an international airport operated jointly by two municipalities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area annexed or acquired by a municipality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