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86R13071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4458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sources of supply of water for certain municipally owned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Local Government Code, is amended by adding Section 552.025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552.025.</w:t>
      </w:r>
      <w:r>
        <w:rPr>
          <w:u w:val="single"/>
        </w:rPr>
        <w:t xml:space="preserve"> </w:t>
      </w:r>
      <w:r>
        <w:rPr>
          <w:u w:val="single"/>
        </w:rPr>
        <w:t xml:space="preserve"> </w:t>
      </w:r>
      <w:r>
        <w:rPr>
          <w:u w:val="single"/>
        </w:rPr>
        <w:t xml:space="preserve">MULTIPLE SOURCES OF SUPPLY FOR CERTAIN MUNICIPALLY OWNED UTILITIES.  (a) In this section, "municipally owned utility" and "utility" have the meanings assigned by Section 13.002,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municipally owned utility that serves: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more than 500,000;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offices or other facilities of a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municipally owned utility shall have at least two sources of water supply available to the utility for the purposes of the provision of its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municipally owned utility that on the effective date of this section is not in compliance with the requirement of Subsection (c) immediately shall acquire, develop, or contract for one or more alternative sources of water for the provision of its services so that the utility meets that requirement before September 1, 2023.  This subsection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