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86R14217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4471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elective course in human rights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28, Education Code, is amended by adding Section 28.0105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28.0105.</w:t>
      </w:r>
      <w:r>
        <w:rPr>
          <w:u w:val="single"/>
        </w:rPr>
        <w:t xml:space="preserve"> </w:t>
      </w:r>
      <w:r>
        <w:rPr>
          <w:u w:val="single"/>
        </w:rPr>
        <w:t xml:space="preserve"> </w:t>
      </w:r>
      <w:r>
        <w:rPr>
          <w:u w:val="single"/>
        </w:rPr>
        <w:t xml:space="preserve">ELECTIVE COURSE IN HUMAN RIGHTS.  (a)  A school district may offer an elective course in human rights based on the model curriculum developed under Subsection (b) to students in middle school, junior high school, and high school. </w:t>
      </w:r>
      <w:r>
        <w:rPr>
          <w:u w:val="single"/>
        </w:rPr>
        <w:t xml:space="preserve"> </w:t>
      </w:r>
      <w:r>
        <w:rPr>
          <w:u w:val="single"/>
        </w:rPr>
        <w:t xml:space="preserve">The course provided to high school students, if offered by the school district, must meet the requirements for a one-half elective credit under Section 28.025.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Board of Education, in consultation with human rights activists and academic professionals, shall develop a model curriculum for an elective course in human rights.  The model curriculum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instruction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global awareness;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culture;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history of human rights;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universal declaration of human rights;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community service and leadership component.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State Board of Education shall develop the model curriculum required under Section 28.0105(b),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2019-2020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