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86R15629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abuse or exploitation of an elderly person or person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48, Human Resources Code, is amended by adding Section 48.1524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48.1524.</w:t>
      </w:r>
      <w:r>
        <w:rPr>
          <w:u w:val="single"/>
        </w:rPr>
        <w:t xml:space="preserve"> </w:t>
      </w:r>
      <w:r>
        <w:rPr>
          <w:u w:val="single"/>
        </w:rPr>
        <w:t xml:space="preserve"> </w:t>
      </w:r>
      <w:r>
        <w:rPr>
          <w:u w:val="single"/>
        </w:rPr>
        <w:t xml:space="preserve">CIVIL LIABILITY.  (a)  A person is liable to an elderly person or person with a disability for damages for abuse or exploitation.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who prevails in a suit under this section may recover actual damages, including damages for mental anguish even if an injury other than mental anguish is not shown.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 award under Subsection (a), a claimant who prevails in a suit under this section may recover exemplary damages and reasonable attorney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