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86R29664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4477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4477:</w:t>
      </w: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C.S.H.B.</w:t>
      </w:r>
      <w:r xml:space="preserve">
        <w:t> </w:t>
      </w:r>
      <w:r>
        <w:t xml:space="preserve">No.</w:t>
      </w:r>
      <w:r xml:space="preserve">
        <w:t> </w:t>
      </w:r>
      <w:r>
        <w:t xml:space="preserve">4477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on the provision of water and sewer services by certain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13, Water Code, is amended by adding Section 13.150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13.150.</w:t>
      </w:r>
      <w:r>
        <w:rPr>
          <w:u w:val="single"/>
        </w:rPr>
        <w:t xml:space="preserve"> </w:t>
      </w:r>
      <w:r>
        <w:rPr>
          <w:u w:val="single"/>
        </w:rPr>
        <w:t xml:space="preserve"> </w:t>
      </w:r>
      <w:r>
        <w:rPr>
          <w:u w:val="single"/>
        </w:rPr>
        <w:t xml:space="preserve">REPORTS REQUIRED FOR WATER AND SEWER UTILITIES.  (a)  Except as provided by Subsection (b), a Class B or Class C utility shall deliver to the utility commission a report of the utility's financial, managerial, and technical capacity to provide continuous and adequate service to its customers not later than the third anniversary of the date that the utility violates a final order of the commission by failing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system capacity that is greater than the required raw water or groundwater production rate or the anticipated daily demand of the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minimum pressure of 35 pounds per square inch throughout the distribution system under normal operating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accurate or properly calibrated testing equipment or other means of monitoring the effectiveness of a chemical treatment or pathogen inactivation or removal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Class B or Class C utility that has an existing obligation to deliver a report under Subsection (a) is not required to deliver another report as a result of the occurrence of an event described by Subsection (a) if the event occurs before the date that the utility delivers the report required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a Class B or Class C utility that, not more than three years before the effective date of this Act, violated an order described by Section 13.150(a), Water Code, as added by this Act, shall submit a report described by Section 13.150(a), Water Code, as added by this Act, not later than the fifth anniversary of the event.</w:t>
      </w:r>
    </w:p>
    <w:p w:rsidR="003F3435" w:rsidRDefault="0032493E">
      <w:pPr>
        <w:spacing w:line="480" w:lineRule="auto"/>
        <w:ind w:firstLine="720"/>
        <w:jc w:val="both"/>
      </w:pPr>
      <w:r>
        <w:t xml:space="preserve">(b)</w:t>
      </w:r>
      <w:r xml:space="preserve">
        <w:t> </w:t>
      </w:r>
      <w:r xml:space="preserve">
        <w:t> </w:t>
      </w:r>
      <w:r>
        <w:t xml:space="preserve">A Class B or Class C utility that has an existing obligation to deliver a report under Subsection (a) of this section is not required to deliver another report as a result of the occurrence of an event described by Section 13.150(a), Water Code, as added by this Act, if the event occurs before the date that the utility delivers the report required by Subsection (a)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