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Neave</w:t>
      </w:r>
      <w:r xml:space="preserve">
        <w:tab wTab="150" tlc="none" cTlc="0"/>
      </w:r>
      <w:r>
        <w:t xml:space="preserve">H.B.</w:t>
      </w:r>
      <w:r xml:space="preserve">
        <w:t> </w:t>
      </w:r>
      <w:r>
        <w:t xml:space="preserve">No.</w:t>
      </w:r>
      <w:r xml:space="preserve">
        <w:t> </w:t>
      </w:r>
      <w:r>
        <w:t xml:space="preserve">4478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prohibited provisions in a settlement agreement between a government agency and employee regarding a claim or complaint involving sexual assault or certain unlawful conduct based on sex.</w:t>
      </w:r>
    </w:p>
    <w:p w:rsidR="003F3435" w:rsidRDefault="0032493E">
      <w:pPr>
        <w:spacing w:line="480" w:lineRule="auto"/>
        <w:jc w:val="center"/>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3, Labor Code, is amended by adding Chapter 106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106.</w:t>
      </w:r>
      <w:r>
        <w:rPr>
          <w:u w:val="single"/>
        </w:rPr>
        <w:t xml:space="preserve"> </w:t>
      </w:r>
      <w:r>
        <w:rPr>
          <w:u w:val="single"/>
        </w:rPr>
        <w:t xml:space="preserve"> </w:t>
      </w:r>
      <w:r>
        <w:rPr>
          <w:u w:val="single"/>
        </w:rPr>
        <w:t xml:space="preserve">PROHIBITED PROVISIONS IN CERTAIN SETTLEMENT AGREEMENTS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106.001.</w:t>
      </w:r>
      <w:r>
        <w:rPr>
          <w:u w:val="single"/>
        </w:rPr>
        <w:t xml:space="preserve"> </w:t>
      </w:r>
      <w:r>
        <w:rPr>
          <w:u w:val="single"/>
        </w:rPr>
        <w:t xml:space="preserve"> </w:t>
      </w:r>
      <w:r>
        <w:rPr>
          <w:u w:val="single"/>
        </w:rPr>
        <w:t xml:space="preserve">APPLICABILITY.  (a) </w:t>
      </w:r>
      <w:r>
        <w:rPr>
          <w:u w:val="single"/>
        </w:rPr>
        <w:t xml:space="preserve"> </w:t>
      </w:r>
      <w:r>
        <w:rPr>
          <w:u w:val="single"/>
        </w:rPr>
        <w:t xml:space="preserve">This chapter applies to a settlement agreement between a government agency and the agency's employee related to a claim filed in a civil action or a complaint filed in an administrative action involving: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sexual assault or aggravated sexual assault;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unlawful employment practice based on sex in violation of Subchapter B, Chapter 21, or retaliation that violates Section 21.055 in connection with an unlawful employment practice based on sex in violation of Subchapter B, Chapter 21.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Subsection (a), "sexual assault" and "aggravated sexual assault" mean conduct described by Section 22.011 or 22.021, Penal Code, respectively.</w:t>
      </w:r>
    </w:p>
    <w:p w:rsidR="003F3435" w:rsidRDefault="0032493E">
      <w:pPr>
        <w:spacing w:line="480" w:lineRule="auto"/>
        <w:ind w:firstLine="720"/>
        <w:jc w:val="both"/>
      </w:pPr>
      <w:r>
        <w:rPr>
          <w:u w:val="single"/>
        </w:rPr>
        <w:t xml:space="preserve">Sec.</w:t>
      </w:r>
      <w:r>
        <w:rPr>
          <w:u w:val="single"/>
        </w:rPr>
        <w:t xml:space="preserve"> </w:t>
      </w:r>
      <w:r>
        <w:rPr>
          <w:u w:val="single"/>
        </w:rPr>
        <w:t xml:space="preserve">106.002.</w:t>
      </w:r>
      <w:r>
        <w:rPr>
          <w:u w:val="single"/>
        </w:rPr>
        <w:t xml:space="preserve"> </w:t>
      </w:r>
      <w:r>
        <w:rPr>
          <w:u w:val="single"/>
        </w:rPr>
        <w:t xml:space="preserve"> </w:t>
      </w:r>
      <w:r>
        <w:rPr>
          <w:u w:val="single"/>
        </w:rPr>
        <w:t xml:space="preserve">PROHIBITED PROVISIONS IN CERTAIN SETTLEMENT AGREEMENTS AND ORDERS.  (a) </w:t>
      </w:r>
      <w:r>
        <w:rPr>
          <w:u w:val="single"/>
        </w:rPr>
        <w:t xml:space="preserve"> </w:t>
      </w:r>
      <w:r>
        <w:rPr>
          <w:u w:val="single"/>
        </w:rPr>
        <w:t xml:space="preserve">A settlement agreement to which this chapter applies may not contain a provision that prevents the disclosure of factual information related to the claim or complaint unless the provision is requested by the employee.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provision that is prohibited by Subsection (a) in a settlement agreement is void and unenforceable as against public policy.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determining the factual foundation of a cause of action for civil damages in an action involving a claim or complaint described by Section 106.001, a court may consider the pleadings and other papers in the record or any other findings of the court.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prohibit the entry or enforcement of a provision in a settlement agreement that prevents the disclosure of the amount paid to settle the claim or complaint.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settlement agreement entered into on or after the effective date of this Act. </w:t>
      </w:r>
      <w:r>
        <w:t xml:space="preserve"> </w:t>
      </w:r>
      <w:r>
        <w:t xml:space="preserve">A settlement agreement entered into before the effective date of this Act is governed by the law applicable to the settlement agreement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