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use of art therapy in public schools and on art therapy in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DEFINITIONS. </w:t>
      </w:r>
      <w:r>
        <w:t xml:space="preserve"> </w:t>
      </w:r>
      <w:r>
        <w:t xml:space="preserve">In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"Art therapy" means a form of therapy based on engagement in artistic activities, including visual and performing arts, as a means of creative expression and symbolic communication and used as a remedial or diagnostic activity.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"Mental health professional" has the meaning assigned by Section 61.601, Education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STUDY ON ART THERAPY IN PUBLIC SCHOOLS.  (a) </w:t>
      </w:r>
      <w:r>
        <w:t xml:space="preserve"> </w:t>
      </w:r>
      <w:r>
        <w:t xml:space="preserve">The commissioner of education shall establish a task force to study the utility, efficacy, and feasibility of providing art therapy to improve the mental health of public school students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 of education shall appoint members of the task force. </w:t>
      </w:r>
      <w:r>
        <w:t xml:space="preserve"> </w:t>
      </w:r>
      <w:r>
        <w:t xml:space="preserve">The task force must include at least: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mental health professional;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public school administrator or educator;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parent of or person standing in parental relation to a public school student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task force shall prepare a written report that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description of the activities of the task force;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analysis of the impact of art therapy on the mental health of school-aged children; including students with disabilities.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recommendations for legislative or other action;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any other matters the task force considers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 later than December 1, 2020, the task force shall submit the written report to the governor, lieutenant governor, legislature, and commissioner of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STUDY ON ART THERAPY IN HIGHER EDUCATION.  (a) </w:t>
      </w:r>
      <w:r>
        <w:t xml:space="preserve"> </w:t>
      </w:r>
      <w:r>
        <w:t xml:space="preserve">The Texas Higher Education Coordinating Board shall conduct a study on the feasibility of institutions of higher education in this state offering accredited higher education art therapy programs. </w:t>
      </w:r>
      <w:r>
        <w:t xml:space="preserve"> </w:t>
      </w:r>
      <w:r>
        <w:t xml:space="preserve">The coordinating board shall prepare a written report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indicates whether any interest in higher education art therapy programs exists;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identifies the challenges an institution of higher education may face in achieving accreditation for those programs;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includes recommendations for legislative or other action;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includes any other matter the coordinating board considers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2020, the coordinating board shall submit the written report to the governor, lieutenant governor, and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EXPIRATION.  This Act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</w:t>
      </w:r>
      <w:r>
        <w:t xml:space="preserve"> 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