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of Dallas</w:t>
      </w:r>
      <w:r xml:space="preserve">
        <w:tab wTab="150" tlc="none" cTlc="0"/>
      </w:r>
      <w:r>
        <w:t xml:space="preserve">H.B.</w:t>
      </w:r>
      <w:r xml:space="preserve">
        <w:t> </w:t>
      </w:r>
      <w:r>
        <w:t xml:space="preserve">No.</w:t>
      </w:r>
      <w:r xml:space="preserve">
        <w:t> </w:t>
      </w:r>
      <w:r>
        <w:t xml:space="preserve">4482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periodic evaluation of certain exemptions from property taxes and state taxes and the application of the sunset review process to those exemptions.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325.026.</w:t>
      </w:r>
      <w:r>
        <w:rPr>
          <w:u w:val="single"/>
        </w:rPr>
        <w:t xml:space="preserve"> </w:t>
      </w:r>
      <w:r>
        <w:rPr>
          <w:u w:val="single"/>
        </w:rPr>
        <w:t xml:space="preserve"> </w:t>
      </w:r>
      <w:r>
        <w:rPr>
          <w:u w:val="single"/>
        </w:rPr>
        <w:t xml:space="preserve">EVALUATION OF EXEMPTIONS FROM PROPERTY AND STATE TAXES.  (a)  In this section, "exemption"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exemption that is provided by the manner in which a term is defined in Subchapter A, Chapter 151,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exemption provided by Chapter 162, Tax Code, from the taxes imposed by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periodically evaluate each exemption provided by Chapters 11, 151, 152, 162, 171, 201, and 202, Tax Code, from the taxes imposed by those chapters.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conduct the evaluation required by Subsection (b) according to a schedule that the commission adopts.  The schedule must provide for the commission to evaluate each tax exemption at an interval not to exceed six years.  The commission shall provide the schedule to the governor, lieutenant governor, speaker of the house of representatives, and presiding officers of the senate finance committee and the house ways and means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commission's evaluation of each tax exemption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an evaluation of the exemption's effect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revenue received from taxes imposed by the chapter providing the exemption;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entities that receive the exemption;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sales of property, goods, and services made in this state, where applicable;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economic investment and growth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into account any other factors the commission considers relevant in evaluating the exemption;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whether retaining the exemption is in the public's best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 retaining or repealing the exemption, or for amending a provision related to the exemption.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each regular legislative session, the commission shall present to the legislature and the governor a report on the evaluation and recommendations it makes under Subsection (d).  The report must include drafts of any legislation needed to carry out the commission's recommendations under that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evaluation described by this section does not apply to a tax exemption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explicitly provided by the constitution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item or service that this state is unable to tax under the United States Constitution or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11, Tax Code, is amended by adding Section 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11.49.</w:t>
      </w:r>
      <w:r>
        <w:rPr>
          <w:u w:val="single"/>
        </w:rPr>
        <w:t xml:space="preserve"> </w:t>
      </w:r>
      <w:r>
        <w:rPr>
          <w:u w:val="single"/>
        </w:rPr>
        <w:t xml:space="preserve"> </w:t>
      </w:r>
      <w:r>
        <w:rPr>
          <w:u w:val="single"/>
        </w:rPr>
        <w:t xml:space="preserve">SUNSET PROVISION FOR PROPERTY TAX EXEMPTIONS.  (a)  The exemptions provided by this chapter from the taxes imposed by this chapter are subject to periodic evaluation by the Sunset Advisory Commission under Section 325.026, Government Code, according to a schedule that the commission adopts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 exemption provided by this chapter that is the subject of a Sunset Advisory Commission evaluation under Section 325.026, Government Code, and a section or part of a section that provides the exemption are repealed on December 31 of the year in which the commission presents its evaluation to the legislature unless the legislature retains the exemption.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the legislature from  repealing an exemption from the taxes imposed by this chapter at a date earlier than the date provided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evaluation described by Subsection (a) and the repeal described by Subsection (b) do not apply to a tax exemption that is explicitly provided by the constitution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101, Tax Code, is amended by adding Section 101.010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101.010.</w:t>
      </w:r>
      <w:r>
        <w:rPr>
          <w:u w:val="single"/>
        </w:rPr>
        <w:t xml:space="preserve"> </w:t>
      </w:r>
      <w:r>
        <w:rPr>
          <w:u w:val="single"/>
        </w:rPr>
        <w:t xml:space="preserve"> </w:t>
      </w:r>
      <w:r>
        <w:rPr>
          <w:u w:val="single"/>
        </w:rPr>
        <w:t xml:space="preserve">SUNSET PROVISION FOR CERTAIN EXEMPTIONS FROM STATE TAXES.  (a)  In this section, "exemption"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exemption that is provided by the manner in which a term is defined in Subchapter A, Chapter 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exemption provided by Chapter 162 from the taxes imposed by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exemptions provided by Chapters 151, 152, 162, 171, 201, and 202 from the taxes imposed by those chapters are subject to periodic evaluation by the Sunset Advisory Commission under Section 325.026, Government Code, according to a schedule that the commission adopts under that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exemption that is the subject of a Sunset Advisory Commission evaluation under Section 325.026, Government Code, and a section or part of a section that provides the exemption are repealed on December 31 of the year in which the commission presents its evaluation to the legislature unless the legislature retains the exemption.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Texas Constitution and to the extent permissible under other law, the comptroller shall deposit an amount of money equal to the increase in the amount of revenue received by the state attributable to the repeal of a tax exemption under Subsection (c) to the credit of an account in the foundation school fund.  Money in the account may be appropriated only to provide pay increases for school district employees subject to the minimum salary schedule under Section 21.402, Education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the legislature from  repealing an exemption from the taxes imposed by Chapters 151, 152, 162, 171, 201, and 202 at a date earlier than the date provided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evaluation described by Subsection (b) and the repeal described by Subsection (c) do not apply to a tax exemption for an item or service that this state is unable to tax under the United States Constitution or federal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Sunset Advisory Commission shall adopt a schedule for evaluating exemptions from property taxes and state taxes as provided by Section 325.026, Government Code, as added by this Act, on or before January 1, 2020.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