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86R14112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H.B.</w:t>
      </w:r>
      <w:r xml:space="preserve">
        <w:t> </w:t>
      </w:r>
      <w:r>
        <w:t xml:space="preserve">No.</w:t>
      </w:r>
      <w:r xml:space="preserve">
        <w:t> </w:t>
      </w:r>
      <w:r>
        <w:t xml:space="preserve">4483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peace officer education and training on individuals with disabilities.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1701.253, Occupations Code, is amended by adding Subsection (p) to read as follows: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As part of the minimum curriculum requirements, the commission shall require an officer to complete a comprehensive education and training program on identifying, communicating with, and supporting individuals with disabilities. </w:t>
      </w:r>
      <w:r>
        <w:rPr>
          <w:u w:val="single"/>
        </w:rPr>
        <w:t xml:space="preserve"> </w:t>
      </w:r>
      <w:r>
        <w:rPr>
          <w:u w:val="single"/>
        </w:rPr>
        <w:t xml:space="preserve">An officer shall complete the program required under this subsection not later than the second anniversary of the date the officer is licensed under this chapter unless the officer completes the program as part of the officer's basic training course.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1701.402, Occupations Code, is amended by adding Subsection (o) to read as follows:</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As a requirement for an intermediate or advanced proficiency certificate issued by the commission, an officer must complete the comprehensive education and training program on identifying, communicating with, and supporting individuals with disabilities established by the commission under Section 1701.253(p).</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Texas Commission on Law Enforcement shall adopt the rules necessary to implement Sections 1701.253(p) and 1701.402(o), Occupations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