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4485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economic development incentives provided to businesses and members of the public by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comptroller of public accounts shall conduct a study to identify the types of economic development incentives and the costs of those incentives provided to businesses and members of the public by the following political subdivisions during the 2018-2019 fiscal year of the political subdivision, including incentives designed to attract a business prospect to locate, stay, or expand in the political subdivision:</w:t>
      </w:r>
    </w:p>
    <w:p w:rsidR="003F3435" w:rsidRDefault="0032493E">
      <w:pPr>
        <w:spacing w:line="480" w:lineRule="auto"/>
        <w:ind w:firstLine="1440"/>
        <w:jc w:val="both"/>
      </w:pPr>
      <w:r>
        <w:t xml:space="preserve">(1)</w:t>
      </w:r>
      <w:r xml:space="preserve">
        <w:t> </w:t>
      </w:r>
      <w:r xml:space="preserve">
        <w:t> </w:t>
      </w:r>
      <w:r>
        <w:t xml:space="preserve">a county with a population of more than 700,000 and less than 775,000 according to the most recent federal decennial census; and</w:t>
      </w:r>
    </w:p>
    <w:p w:rsidR="003F3435" w:rsidRDefault="0032493E">
      <w:pPr>
        <w:spacing w:line="480" w:lineRule="auto"/>
        <w:ind w:firstLine="1440"/>
        <w:jc w:val="both"/>
      </w:pPr>
      <w:r>
        <w:t xml:space="preserve">(2)</w:t>
      </w:r>
      <w:r xml:space="preserve">
        <w:t> </w:t>
      </w:r>
      <w:r xml:space="preserve">
        <w:t> </w:t>
      </w:r>
      <w:r>
        <w:t xml:space="preserve">each municipality located in a county described by Subdivision (1) of this subsection.</w:t>
      </w:r>
    </w:p>
    <w:p w:rsidR="003F3435" w:rsidRDefault="0032493E">
      <w:pPr>
        <w:spacing w:line="480" w:lineRule="auto"/>
        <w:ind w:firstLine="720"/>
        <w:jc w:val="both"/>
      </w:pPr>
      <w:r>
        <w:t xml:space="preserve">(b)</w:t>
      </w:r>
      <w:r xml:space="preserve">
        <w:t> </w:t>
      </w:r>
      <w:r xml:space="preserve">
        <w:t> </w:t>
      </w:r>
      <w:r>
        <w:t xml:space="preserve">In conducting the study, the comptroller shall, for the period described by Subsection (a) of this section:</w:t>
      </w:r>
    </w:p>
    <w:p w:rsidR="003F3435" w:rsidRDefault="0032493E">
      <w:pPr>
        <w:spacing w:line="480" w:lineRule="auto"/>
        <w:ind w:firstLine="1440"/>
        <w:jc w:val="both"/>
      </w:pPr>
      <w:r>
        <w:t xml:space="preserve">(1)</w:t>
      </w:r>
      <w:r xml:space="preserve">
        <w:t> </w:t>
      </w:r>
      <w:r xml:space="preserve">
        <w:t> </w:t>
      </w:r>
      <w:r>
        <w:t xml:space="preserve">identify each tax incentive, including each tax abatement, credit, discount, exemption, or special valuation provided to a business or member of the public by each political subdivision for economic development purposes;</w:t>
      </w:r>
    </w:p>
    <w:p w:rsidR="003F3435" w:rsidRDefault="0032493E">
      <w:pPr>
        <w:spacing w:line="480" w:lineRule="auto"/>
        <w:ind w:firstLine="1440"/>
        <w:jc w:val="both"/>
      </w:pPr>
      <w:r>
        <w:t xml:space="preserve">(2)</w:t>
      </w:r>
      <w:r xml:space="preserve">
        <w:t> </w:t>
      </w:r>
      <w:r xml:space="preserve">
        <w:t> </w:t>
      </w:r>
      <w:r>
        <w:t xml:space="preserve">identify each grant, loan, or other direct expenditure provided to a business or member of the public by each political subdivision for economic development purposes; and</w:t>
      </w:r>
    </w:p>
    <w:p w:rsidR="003F3435" w:rsidRDefault="0032493E">
      <w:pPr>
        <w:spacing w:line="480" w:lineRule="auto"/>
        <w:ind w:firstLine="1440"/>
        <w:jc w:val="both"/>
      </w:pPr>
      <w:r>
        <w:t xml:space="preserve">(3)</w:t>
      </w:r>
      <w:r xml:space="preserve">
        <w:t> </w:t>
      </w:r>
      <w:r xml:space="preserve">
        <w:t> </w:t>
      </w:r>
      <w:r>
        <w:t xml:space="preserve">determine the total cost of the economic development incentives identified in Subdivisions (1) and (2) of this subsection for each political subdivision.</w:t>
      </w:r>
    </w:p>
    <w:p w:rsidR="003F3435" w:rsidRDefault="0032493E">
      <w:pPr>
        <w:spacing w:line="480" w:lineRule="auto"/>
        <w:ind w:firstLine="720"/>
        <w:jc w:val="both"/>
      </w:pPr>
      <w:r>
        <w:t xml:space="preserve">(c)</w:t>
      </w:r>
      <w:r xml:space="preserve">
        <w:t> </w:t>
      </w:r>
      <w:r xml:space="preserve">
        <w:t> </w:t>
      </w:r>
      <w:r>
        <w:t xml:space="preserve">Not later than June 1, 2020, the comptroller shall prepare and submit to the governor, lieutenant governor, and speaker of the house of representatives a written report containing the results of the study and any recommendations for legislative or other action.</w:t>
      </w:r>
    </w:p>
    <w:p w:rsidR="003F3435" w:rsidRDefault="0032493E">
      <w:pPr>
        <w:spacing w:line="480" w:lineRule="auto"/>
        <w:ind w:firstLine="720"/>
        <w:jc w:val="both"/>
      </w:pPr>
      <w:r>
        <w:t xml:space="preserve">(d)</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