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86R9807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4487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exclusion of certain public school student disciplinary actions from reports required by state or federal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37.002,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who is sent to the campus behavior coordinator's office under Subsection (a) is not considered to have been removed from the classroom for the purposes of reporting data through the Public Education Information Management System (PEIMS) or other similar reports required by state or federal law.</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